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A443" w14:textId="77777777" w:rsidR="00A02A57" w:rsidRDefault="00200C65" w:rsidP="00A02A57">
      <w:pPr>
        <w:spacing w:before="78"/>
        <w:ind w:right="170"/>
        <w:jc w:val="center"/>
        <w:rPr>
          <w:b/>
          <w:color w:val="231F20"/>
          <w:sz w:val="40"/>
          <w:szCs w:val="40"/>
        </w:rPr>
      </w:pPr>
      <w:bookmarkStart w:id="0" w:name="_GoBack"/>
      <w:bookmarkEnd w:id="0"/>
      <w:r w:rsidRPr="0095673C">
        <w:rPr>
          <w:b/>
          <w:color w:val="231F20"/>
          <w:sz w:val="40"/>
          <w:szCs w:val="40"/>
        </w:rPr>
        <w:t>Rifampin for Latent TB Infection</w:t>
      </w:r>
      <w:r w:rsidR="00D4467F" w:rsidRPr="0095673C">
        <w:rPr>
          <w:b/>
          <w:color w:val="231F20"/>
          <w:sz w:val="40"/>
          <w:szCs w:val="40"/>
        </w:rPr>
        <w:t xml:space="preserve"> </w:t>
      </w:r>
      <w:r w:rsidRPr="0095673C">
        <w:rPr>
          <w:b/>
          <w:color w:val="231F20"/>
          <w:sz w:val="40"/>
          <w:szCs w:val="40"/>
        </w:rPr>
        <w:t>(LTBI) Treatment</w:t>
      </w:r>
    </w:p>
    <w:p w14:paraId="164DB368" w14:textId="77777777" w:rsidR="00A02A57" w:rsidRDefault="0072173F" w:rsidP="00A02A57">
      <w:pPr>
        <w:spacing w:before="78"/>
        <w:ind w:right="170"/>
        <w:jc w:val="center"/>
        <w:rPr>
          <w:b/>
          <w:color w:val="231F20"/>
          <w:sz w:val="40"/>
          <w:szCs w:val="40"/>
        </w:rPr>
      </w:pPr>
      <w:r w:rsidRPr="0095673C">
        <w:rPr>
          <w:b/>
          <w:color w:val="231F20"/>
          <w:sz w:val="40"/>
          <w:szCs w:val="40"/>
        </w:rPr>
        <w:t>Provider Fact Sheet</w:t>
      </w:r>
    </w:p>
    <w:p w14:paraId="0301CD22" w14:textId="26FEC163" w:rsidR="00D4467F" w:rsidRPr="00D4467F" w:rsidRDefault="00D4467F" w:rsidP="00A02A57">
      <w:pPr>
        <w:spacing w:before="78"/>
        <w:ind w:right="170"/>
        <w:jc w:val="center"/>
        <w:rPr>
          <w:b/>
          <w:color w:val="231F20"/>
          <w:sz w:val="40"/>
          <w:szCs w:val="40"/>
        </w:rPr>
      </w:pPr>
      <w:r w:rsidRPr="0095673C">
        <w:rPr>
          <w:b/>
          <w:color w:val="231F20"/>
          <w:sz w:val="40"/>
          <w:szCs w:val="40"/>
        </w:rPr>
        <w:t>Fairfax County Health Department</w:t>
      </w:r>
    </w:p>
    <w:p w14:paraId="1180D1FF" w14:textId="77777777" w:rsidR="00995A54" w:rsidRDefault="00995A54">
      <w:pPr>
        <w:pStyle w:val="BodyText"/>
        <w:spacing w:before="4"/>
        <w:rPr>
          <w:b/>
          <w:sz w:val="13"/>
        </w:rPr>
      </w:pPr>
    </w:p>
    <w:p w14:paraId="1604DCCF" w14:textId="77777777" w:rsidR="00995A54" w:rsidRDefault="00200C65">
      <w:pPr>
        <w:pStyle w:val="Heading1"/>
        <w:spacing w:before="100" w:line="240" w:lineRule="auto"/>
      </w:pPr>
      <w:r>
        <w:rPr>
          <w:color w:val="231F20"/>
          <w:shd w:val="clear" w:color="auto" w:fill="D4D4D4"/>
        </w:rPr>
        <w:t xml:space="preserve">NOTE: It is </w:t>
      </w:r>
      <w:r>
        <w:rPr>
          <w:color w:val="231F20"/>
          <w:u w:val="single" w:color="231F20"/>
          <w:shd w:val="clear" w:color="auto" w:fill="D4D4D4"/>
        </w:rPr>
        <w:t xml:space="preserve">imperative </w:t>
      </w:r>
      <w:r>
        <w:rPr>
          <w:color w:val="231F20"/>
          <w:shd w:val="clear" w:color="auto" w:fill="D4D4D4"/>
        </w:rPr>
        <w:t>to rule out active TB disease in all persons prior to initiating treatment for LTBI</w:t>
      </w:r>
    </w:p>
    <w:p w14:paraId="5397BB61" w14:textId="77777777" w:rsidR="00995A54" w:rsidRDefault="00995A54">
      <w:pPr>
        <w:sectPr w:rsidR="00995A54" w:rsidSect="00CC67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360" w:right="940" w:bottom="1260" w:left="960" w:header="720" w:footer="106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</w:p>
    <w:p w14:paraId="7EFC4B55" w14:textId="77777777" w:rsidR="00995A54" w:rsidRDefault="00200C65">
      <w:pPr>
        <w:spacing w:before="170"/>
        <w:ind w:left="120"/>
        <w:rPr>
          <w:b/>
        </w:rPr>
      </w:pPr>
      <w:r>
        <w:rPr>
          <w:b/>
          <w:color w:val="355F91"/>
        </w:rPr>
        <w:t>How is rifampin used to treat LTBI?</w:t>
      </w:r>
    </w:p>
    <w:p w14:paraId="2FE2E694" w14:textId="77777777" w:rsidR="00995A54" w:rsidRDefault="00200C65">
      <w:pPr>
        <w:pStyle w:val="BodyText"/>
        <w:spacing w:before="33"/>
        <w:ind w:left="119"/>
      </w:pPr>
      <w:r>
        <w:rPr>
          <w:color w:val="231F20"/>
        </w:rPr>
        <w:t>Rifampin is taken once daily for 4 months to treat LTBI.</w:t>
      </w:r>
    </w:p>
    <w:p w14:paraId="2EB4886B" w14:textId="77777777" w:rsidR="00995A54" w:rsidRDefault="00995A54">
      <w:pPr>
        <w:pStyle w:val="BodyText"/>
        <w:spacing w:before="10"/>
        <w:rPr>
          <w:sz w:val="25"/>
        </w:rPr>
      </w:pPr>
    </w:p>
    <w:p w14:paraId="5EE243BD" w14:textId="77777777" w:rsidR="00995A54" w:rsidRDefault="00200C65">
      <w:pPr>
        <w:pStyle w:val="Heading1"/>
      </w:pPr>
      <w:r>
        <w:rPr>
          <w:color w:val="355F91"/>
        </w:rPr>
        <w:t>Is the regimen effective?</w:t>
      </w:r>
    </w:p>
    <w:p w14:paraId="294DA5D1" w14:textId="77777777" w:rsidR="00995A54" w:rsidRDefault="00200C65">
      <w:pPr>
        <w:pStyle w:val="BodyText"/>
        <w:ind w:left="120" w:right="267"/>
        <w:jc w:val="both"/>
      </w:pPr>
      <w:r>
        <w:t>Rifampin daily for 4 months has been shown to be as effective as 9 months of INH, and there is substantial clinical experience with its use.</w:t>
      </w:r>
    </w:p>
    <w:p w14:paraId="22DF1BF1" w14:textId="77777777" w:rsidR="00995A54" w:rsidRDefault="00995A54">
      <w:pPr>
        <w:pStyle w:val="BodyText"/>
        <w:rPr>
          <w:sz w:val="20"/>
        </w:rPr>
      </w:pPr>
    </w:p>
    <w:p w14:paraId="643FBE4C" w14:textId="77777777" w:rsidR="00995A54" w:rsidRDefault="00200C65">
      <w:pPr>
        <w:pStyle w:val="Heading1"/>
      </w:pPr>
      <w:r>
        <w:rPr>
          <w:color w:val="355F91"/>
        </w:rPr>
        <w:t>What are the advantages of this regimen?</w:t>
      </w:r>
    </w:p>
    <w:p w14:paraId="7C7449F7" w14:textId="3723FF4A" w:rsidR="00995A54" w:rsidRDefault="006C1258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9" w:line="252" w:lineRule="exact"/>
        <w:ind w:right="627" w:hanging="360"/>
      </w:pPr>
      <w:r>
        <w:rPr>
          <w:color w:val="231F20"/>
        </w:rPr>
        <w:t>Four-month</w:t>
      </w:r>
      <w:r w:rsidR="00200C65">
        <w:rPr>
          <w:color w:val="231F20"/>
        </w:rPr>
        <w:t xml:space="preserve"> regimen reduces treatment time (compared to 9 months of</w:t>
      </w:r>
      <w:r w:rsidR="00200C65">
        <w:rPr>
          <w:color w:val="231F20"/>
          <w:spacing w:val="-8"/>
        </w:rPr>
        <w:t xml:space="preserve"> </w:t>
      </w:r>
      <w:r w:rsidR="00200C65">
        <w:rPr>
          <w:color w:val="231F20"/>
        </w:rPr>
        <w:t>isoniazid)</w:t>
      </w:r>
    </w:p>
    <w:p w14:paraId="14467933" w14:textId="77777777" w:rsidR="00995A54" w:rsidRDefault="00200C65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65" w:lineRule="exact"/>
        <w:ind w:hanging="360"/>
      </w:pPr>
      <w:r>
        <w:rPr>
          <w:color w:val="231F20"/>
        </w:rPr>
        <w:t>Higher rates of treatment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completion</w:t>
      </w:r>
    </w:p>
    <w:p w14:paraId="6EA465BA" w14:textId="77777777" w:rsidR="00995A54" w:rsidRDefault="00200C65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0"/>
      </w:pPr>
      <w:r>
        <w:rPr>
          <w:color w:val="231F20"/>
        </w:rPr>
        <w:t>Lower rates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hepatotoxicity</w:t>
      </w:r>
    </w:p>
    <w:p w14:paraId="33DF865C" w14:textId="77777777" w:rsidR="00995A54" w:rsidRDefault="00200C65">
      <w:pPr>
        <w:pStyle w:val="Heading1"/>
        <w:spacing w:before="228" w:line="240" w:lineRule="auto"/>
        <w:ind w:right="463"/>
      </w:pPr>
      <w:r>
        <w:rPr>
          <w:color w:val="355F91"/>
        </w:rPr>
        <w:t>Who should be considered for treatment with 4 months of rifampin for LTBI?</w:t>
      </w:r>
    </w:p>
    <w:p w14:paraId="21323F94" w14:textId="77777777" w:rsidR="00995A54" w:rsidRDefault="00200C65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hanging="360"/>
      </w:pPr>
      <w:r>
        <w:rPr>
          <w:color w:val="231F20"/>
        </w:rPr>
        <w:t>Persons of any age 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LTBI</w:t>
      </w:r>
    </w:p>
    <w:p w14:paraId="1FBDE789" w14:textId="77777777" w:rsidR="00995A54" w:rsidRDefault="00200C65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0"/>
      </w:pPr>
      <w:r>
        <w:rPr>
          <w:color w:val="231F20"/>
        </w:rPr>
        <w:t>Adults or children exposed to isoniazid-resistant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TB</w:t>
      </w:r>
    </w:p>
    <w:p w14:paraId="53683348" w14:textId="77777777" w:rsidR="00995A54" w:rsidRDefault="00200C65">
      <w:pPr>
        <w:spacing w:before="228"/>
        <w:ind w:left="120" w:right="135"/>
      </w:pPr>
      <w:r>
        <w:rPr>
          <w:b/>
          <w:color w:val="355F91"/>
        </w:rPr>
        <w:t xml:space="preserve">Can rifampin be used in patients with HIV? </w:t>
      </w:r>
      <w:r>
        <w:rPr>
          <w:color w:val="231F20"/>
        </w:rPr>
        <w:t xml:space="preserve">Rifampin can be considered for people living with HIV being treated with certain combinations of antiretroviral drugs (ARVs) </w:t>
      </w:r>
      <w:proofErr w:type="gramStart"/>
      <w:r>
        <w:rPr>
          <w:color w:val="231F20"/>
        </w:rPr>
        <w:t>as long as</w:t>
      </w:r>
      <w:proofErr w:type="gramEnd"/>
      <w:r>
        <w:rPr>
          <w:color w:val="231F20"/>
        </w:rPr>
        <w:t xml:space="preserve"> possible interactions 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</w:p>
    <w:p w14:paraId="5F843A0E" w14:textId="77777777" w:rsidR="00995A54" w:rsidRDefault="00200C65">
      <w:pPr>
        <w:pStyle w:val="BodyText"/>
        <w:ind w:left="120" w:right="-1"/>
      </w:pPr>
      <w:r>
        <w:rPr>
          <w:color w:val="231F20"/>
        </w:rPr>
        <w:t>properly managed. Rifabutin can often be substituted for rifampin in patients taking ARVs and other medications that may interact with rifampin.</w:t>
      </w:r>
    </w:p>
    <w:p w14:paraId="6EB41050" w14:textId="77777777" w:rsidR="00995A54" w:rsidRDefault="00995A54">
      <w:pPr>
        <w:pStyle w:val="BodyText"/>
        <w:rPr>
          <w:sz w:val="20"/>
        </w:rPr>
      </w:pPr>
    </w:p>
    <w:p w14:paraId="0CE2B61E" w14:textId="77777777" w:rsidR="00995A54" w:rsidRDefault="00200C65">
      <w:pPr>
        <w:pStyle w:val="Heading1"/>
        <w:spacing w:before="1" w:line="240" w:lineRule="auto"/>
        <w:ind w:right="463"/>
      </w:pPr>
      <w:r>
        <w:rPr>
          <w:color w:val="355F91"/>
        </w:rPr>
        <w:t xml:space="preserve">Who is </w:t>
      </w:r>
      <w:r>
        <w:rPr>
          <w:i/>
          <w:color w:val="355F91"/>
          <w:u w:val="thick" w:color="355F91"/>
        </w:rPr>
        <w:t xml:space="preserve">NOT </w:t>
      </w:r>
      <w:r>
        <w:rPr>
          <w:color w:val="355F91"/>
        </w:rPr>
        <w:t>recommended for treatment with 4 months of rifampin?</w:t>
      </w:r>
    </w:p>
    <w:p w14:paraId="7071437C" w14:textId="77777777" w:rsidR="00995A54" w:rsidRDefault="00200C65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0"/>
      </w:pPr>
      <w:r>
        <w:rPr>
          <w:color w:val="231F20"/>
        </w:rPr>
        <w:t>Those with a significant drug interaction (see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below)</w:t>
      </w:r>
    </w:p>
    <w:p w14:paraId="4436DACA" w14:textId="77777777" w:rsidR="00995A54" w:rsidRDefault="00200C65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0"/>
        <w:rPr>
          <w:i/>
        </w:rPr>
      </w:pPr>
      <w:r>
        <w:rPr>
          <w:color w:val="231F20"/>
        </w:rPr>
        <w:t xml:space="preserve">People presumed infected with </w:t>
      </w:r>
      <w:r>
        <w:rPr>
          <w:i/>
          <w:color w:val="231F20"/>
        </w:rPr>
        <w:t>M.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tuberculosis</w:t>
      </w:r>
    </w:p>
    <w:p w14:paraId="07746335" w14:textId="77777777" w:rsidR="00995A54" w:rsidRDefault="00200C65">
      <w:pPr>
        <w:pStyle w:val="BodyText"/>
        <w:spacing w:line="251" w:lineRule="exact"/>
        <w:ind w:left="463" w:right="2555"/>
        <w:jc w:val="center"/>
      </w:pPr>
      <w:r>
        <w:rPr>
          <w:color w:val="231F20"/>
        </w:rPr>
        <w:t>resistant to rifampin</w:t>
      </w:r>
    </w:p>
    <w:p w14:paraId="170EAA58" w14:textId="77777777" w:rsidR="00995A54" w:rsidRDefault="00200C65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1" w:line="252" w:lineRule="exact"/>
        <w:ind w:right="516" w:hanging="360"/>
      </w:pPr>
      <w:r>
        <w:rPr>
          <w:color w:val="231F20"/>
        </w:rPr>
        <w:t>People who have had prior adverse events or hypersensitivity to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rifamycins</w:t>
      </w:r>
      <w:proofErr w:type="spellEnd"/>
    </w:p>
    <w:p w14:paraId="28A9AD63" w14:textId="77777777" w:rsidR="00995A54" w:rsidRDefault="00995A54">
      <w:pPr>
        <w:pStyle w:val="BodyText"/>
        <w:spacing w:before="8"/>
        <w:rPr>
          <w:sz w:val="19"/>
        </w:rPr>
      </w:pPr>
    </w:p>
    <w:p w14:paraId="3D4DBC52" w14:textId="091E40C1" w:rsidR="00995A54" w:rsidRDefault="00200C65" w:rsidP="0072173F">
      <w:pPr>
        <w:pStyle w:val="Heading1"/>
        <w:spacing w:before="136" w:line="240" w:lineRule="auto"/>
        <w:ind w:left="0"/>
      </w:pPr>
      <w:r>
        <w:rPr>
          <w:color w:val="355F91"/>
        </w:rPr>
        <w:t>What are the doses?</w:t>
      </w:r>
    </w:p>
    <w:p w14:paraId="6A3E6BE1" w14:textId="77777777" w:rsidR="00995A54" w:rsidRDefault="00995A54">
      <w:pPr>
        <w:pStyle w:val="BodyText"/>
        <w:spacing w:before="1"/>
        <w:rPr>
          <w:b/>
          <w:sz w:val="5"/>
        </w:rPr>
      </w:pPr>
    </w:p>
    <w:tbl>
      <w:tblPr>
        <w:tblW w:w="0" w:type="auto"/>
        <w:tblInd w:w="78" w:type="dxa"/>
        <w:tblBorders>
          <w:top w:val="single" w:sz="17" w:space="0" w:color="355F91"/>
          <w:left w:val="single" w:sz="17" w:space="0" w:color="355F91"/>
          <w:bottom w:val="single" w:sz="17" w:space="0" w:color="355F91"/>
          <w:right w:val="single" w:sz="17" w:space="0" w:color="355F91"/>
          <w:insideH w:val="single" w:sz="17" w:space="0" w:color="355F91"/>
          <w:insideV w:val="single" w:sz="17" w:space="0" w:color="35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3230"/>
      </w:tblGrid>
      <w:tr w:rsidR="00995A54" w14:paraId="196687AF" w14:textId="77777777">
        <w:trPr>
          <w:trHeight w:hRule="exact" w:val="302"/>
        </w:trPr>
        <w:tc>
          <w:tcPr>
            <w:tcW w:w="1454" w:type="dxa"/>
            <w:tcBorders>
              <w:left w:val="nil"/>
              <w:bottom w:val="single" w:sz="8" w:space="0" w:color="4E93D2"/>
              <w:right w:val="single" w:sz="4" w:space="0" w:color="ACB9CA"/>
            </w:tcBorders>
          </w:tcPr>
          <w:p w14:paraId="77BD8BA0" w14:textId="77777777" w:rsidR="00995A54" w:rsidRDefault="00200C65">
            <w:pPr>
              <w:pStyle w:val="TableParagraph"/>
              <w:spacing w:before="3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Drug</w:t>
            </w:r>
          </w:p>
        </w:tc>
        <w:tc>
          <w:tcPr>
            <w:tcW w:w="3230" w:type="dxa"/>
            <w:tcBorders>
              <w:left w:val="single" w:sz="4" w:space="0" w:color="ACB9CA"/>
              <w:bottom w:val="single" w:sz="8" w:space="0" w:color="4E93D2"/>
              <w:right w:val="nil"/>
            </w:tcBorders>
          </w:tcPr>
          <w:p w14:paraId="3DA260C0" w14:textId="77777777" w:rsidR="00995A54" w:rsidRDefault="00200C65">
            <w:pPr>
              <w:pStyle w:val="TableParagraph"/>
              <w:spacing w:before="3"/>
              <w:ind w:left="1267" w:right="1267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</w:tr>
      <w:tr w:rsidR="00995A54" w14:paraId="4C9315D4" w14:textId="77777777">
        <w:trPr>
          <w:trHeight w:hRule="exact" w:val="648"/>
        </w:trPr>
        <w:tc>
          <w:tcPr>
            <w:tcW w:w="1454" w:type="dxa"/>
            <w:tcBorders>
              <w:top w:val="single" w:sz="8" w:space="0" w:color="4E93D2"/>
              <w:left w:val="nil"/>
              <w:bottom w:val="single" w:sz="4" w:space="0" w:color="ACB9CA"/>
              <w:right w:val="single" w:sz="4" w:space="0" w:color="ACB9CA"/>
            </w:tcBorders>
          </w:tcPr>
          <w:p w14:paraId="0D700790" w14:textId="77777777" w:rsidR="00995A54" w:rsidRDefault="00200C65">
            <w:pPr>
              <w:pStyle w:val="TableParagraph"/>
              <w:spacing w:before="192"/>
              <w:ind w:left="14"/>
            </w:pPr>
            <w:r>
              <w:rPr>
                <w:color w:val="231F20"/>
              </w:rPr>
              <w:t>Rifampin</w:t>
            </w:r>
          </w:p>
        </w:tc>
        <w:tc>
          <w:tcPr>
            <w:tcW w:w="3230" w:type="dxa"/>
            <w:tcBorders>
              <w:top w:val="single" w:sz="8" w:space="0" w:color="4E93D2"/>
              <w:left w:val="single" w:sz="4" w:space="0" w:color="ACB9CA"/>
              <w:bottom w:val="single" w:sz="4" w:space="0" w:color="ACB9CA"/>
              <w:right w:val="nil"/>
            </w:tcBorders>
          </w:tcPr>
          <w:p w14:paraId="1DDEE1A0" w14:textId="77777777" w:rsidR="00995A54" w:rsidRDefault="00200C65">
            <w:pPr>
              <w:pStyle w:val="TableParagraph"/>
              <w:spacing w:before="3" w:line="252" w:lineRule="exact"/>
            </w:pPr>
            <w:r>
              <w:rPr>
                <w:color w:val="231F20"/>
                <w:u w:val="single" w:color="231F20"/>
              </w:rPr>
              <w:t>Adults</w:t>
            </w:r>
          </w:p>
          <w:p w14:paraId="0A828774" w14:textId="77777777" w:rsidR="00995A54" w:rsidRDefault="00200C65">
            <w:pPr>
              <w:pStyle w:val="TableParagraph"/>
              <w:spacing w:line="252" w:lineRule="exact"/>
            </w:pPr>
            <w:r>
              <w:rPr>
                <w:color w:val="231F20"/>
              </w:rPr>
              <w:t>10mg/kg up to 600mg</w:t>
            </w:r>
          </w:p>
        </w:tc>
      </w:tr>
      <w:tr w:rsidR="00995A54" w14:paraId="4ED85C8E" w14:textId="77777777">
        <w:trPr>
          <w:trHeight w:hRule="exact" w:val="653"/>
        </w:trPr>
        <w:tc>
          <w:tcPr>
            <w:tcW w:w="1454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</w:tcPr>
          <w:p w14:paraId="41B931B2" w14:textId="77777777" w:rsidR="00995A54" w:rsidRDefault="00995A54"/>
        </w:tc>
        <w:tc>
          <w:tcPr>
            <w:tcW w:w="32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</w:tcPr>
          <w:p w14:paraId="78B43EAB" w14:textId="77777777" w:rsidR="00995A54" w:rsidRDefault="00200C65">
            <w:pPr>
              <w:pStyle w:val="TableParagraph"/>
            </w:pPr>
            <w:r>
              <w:rPr>
                <w:color w:val="231F20"/>
                <w:u w:val="single" w:color="231F20"/>
              </w:rPr>
              <w:t>Children</w:t>
            </w:r>
          </w:p>
          <w:p w14:paraId="35D5317D" w14:textId="77777777" w:rsidR="00995A54" w:rsidRDefault="00200C65">
            <w:pPr>
              <w:pStyle w:val="TableParagraph"/>
              <w:spacing w:before="2"/>
            </w:pPr>
            <w:r>
              <w:rPr>
                <w:color w:val="231F20"/>
              </w:rPr>
              <w:t>15–20 mg/kg up to 600mg</w:t>
            </w:r>
          </w:p>
        </w:tc>
      </w:tr>
      <w:tr w:rsidR="00995A54" w14:paraId="7EC454E7" w14:textId="77777777">
        <w:trPr>
          <w:trHeight w:hRule="exact" w:val="650"/>
        </w:trPr>
        <w:tc>
          <w:tcPr>
            <w:tcW w:w="1454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</w:tcPr>
          <w:p w14:paraId="5D638CC0" w14:textId="77777777" w:rsidR="00995A54" w:rsidRDefault="00200C65">
            <w:pPr>
              <w:pStyle w:val="TableParagraph"/>
              <w:spacing w:before="195"/>
              <w:ind w:left="14"/>
            </w:pPr>
            <w:r>
              <w:rPr>
                <w:color w:val="231F20"/>
              </w:rPr>
              <w:t>Rifabutin</w:t>
            </w:r>
          </w:p>
        </w:tc>
        <w:tc>
          <w:tcPr>
            <w:tcW w:w="323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</w:tcPr>
          <w:p w14:paraId="4F1B816F" w14:textId="77777777" w:rsidR="00995A54" w:rsidRDefault="00200C65">
            <w:pPr>
              <w:pStyle w:val="TableParagraph"/>
              <w:spacing w:line="252" w:lineRule="exact"/>
            </w:pPr>
            <w:r>
              <w:rPr>
                <w:color w:val="231F20"/>
                <w:u w:val="single" w:color="231F20"/>
              </w:rPr>
              <w:t>Adults</w:t>
            </w:r>
          </w:p>
          <w:p w14:paraId="6D415770" w14:textId="77777777" w:rsidR="00995A54" w:rsidRDefault="00200C65">
            <w:pPr>
              <w:pStyle w:val="TableParagraph"/>
              <w:spacing w:line="252" w:lineRule="exact"/>
            </w:pPr>
            <w:r>
              <w:rPr>
                <w:color w:val="231F20"/>
              </w:rPr>
              <w:t>5mg/kg up to 300mg</w:t>
            </w:r>
          </w:p>
        </w:tc>
      </w:tr>
      <w:tr w:rsidR="00995A54" w14:paraId="35451022" w14:textId="77777777">
        <w:trPr>
          <w:trHeight w:hRule="exact" w:val="658"/>
        </w:trPr>
        <w:tc>
          <w:tcPr>
            <w:tcW w:w="1454" w:type="dxa"/>
            <w:tcBorders>
              <w:top w:val="single" w:sz="4" w:space="0" w:color="ACB9CA"/>
              <w:left w:val="nil"/>
              <w:bottom w:val="single" w:sz="8" w:space="0" w:color="000000"/>
              <w:right w:val="single" w:sz="4" w:space="0" w:color="ACB9CA"/>
            </w:tcBorders>
          </w:tcPr>
          <w:p w14:paraId="4CFA0D71" w14:textId="77777777" w:rsidR="00995A54" w:rsidRDefault="00995A54"/>
        </w:tc>
        <w:tc>
          <w:tcPr>
            <w:tcW w:w="3230" w:type="dxa"/>
            <w:tcBorders>
              <w:top w:val="single" w:sz="4" w:space="0" w:color="ACB9CA"/>
              <w:left w:val="single" w:sz="4" w:space="0" w:color="ACB9CA"/>
              <w:bottom w:val="single" w:sz="8" w:space="0" w:color="000000"/>
              <w:right w:val="nil"/>
            </w:tcBorders>
          </w:tcPr>
          <w:p w14:paraId="2FE274B4" w14:textId="77777777" w:rsidR="00995A54" w:rsidRDefault="00200C65">
            <w:pPr>
              <w:pStyle w:val="TableParagraph"/>
              <w:spacing w:before="3" w:line="252" w:lineRule="exact"/>
            </w:pPr>
            <w:r>
              <w:rPr>
                <w:color w:val="231F20"/>
                <w:u w:val="single" w:color="231F20"/>
              </w:rPr>
              <w:t>Children</w:t>
            </w:r>
          </w:p>
          <w:p w14:paraId="1DA3F044" w14:textId="77777777" w:rsidR="00995A54" w:rsidRDefault="00200C65">
            <w:pPr>
              <w:pStyle w:val="TableParagraph"/>
              <w:spacing w:line="252" w:lineRule="exact"/>
            </w:pPr>
            <w:r>
              <w:rPr>
                <w:color w:val="231F20"/>
              </w:rPr>
              <w:t>Not recommended</w:t>
            </w:r>
          </w:p>
        </w:tc>
      </w:tr>
    </w:tbl>
    <w:p w14:paraId="3588C15E" w14:textId="77777777" w:rsidR="00995A54" w:rsidRDefault="00200C65">
      <w:pPr>
        <w:ind w:left="119" w:right="186"/>
        <w:rPr>
          <w:sz w:val="20"/>
        </w:rPr>
      </w:pPr>
      <w:r>
        <w:rPr>
          <w:color w:val="231F20"/>
          <w:sz w:val="20"/>
        </w:rPr>
        <w:t>*Rifampin and rifabutin capsules can be opened and the contents mixed with semi-solid food for patients who are unable to swallow pills</w:t>
      </w:r>
    </w:p>
    <w:p w14:paraId="5A6F04E5" w14:textId="77777777" w:rsidR="00995A54" w:rsidRDefault="00995A54">
      <w:pPr>
        <w:pStyle w:val="BodyText"/>
        <w:spacing w:before="3"/>
      </w:pPr>
    </w:p>
    <w:p w14:paraId="701BA58C" w14:textId="77777777" w:rsidR="00995A54" w:rsidRDefault="00200C65">
      <w:pPr>
        <w:pStyle w:val="Heading1"/>
        <w:ind w:left="119"/>
      </w:pPr>
      <w:r>
        <w:rPr>
          <w:color w:val="355F91"/>
        </w:rPr>
        <w:t>What is completion of therapy?</w:t>
      </w:r>
    </w:p>
    <w:p w14:paraId="6FAADC53" w14:textId="07A21DD5" w:rsidR="00995A54" w:rsidRDefault="00200C65">
      <w:pPr>
        <w:pStyle w:val="BodyText"/>
        <w:ind w:left="119" w:right="176"/>
      </w:pPr>
      <w:r>
        <w:rPr>
          <w:color w:val="231F20"/>
        </w:rPr>
        <w:t xml:space="preserve">Four months is the recommended length of treatment with </w:t>
      </w:r>
      <w:r w:rsidR="0072173F">
        <w:rPr>
          <w:color w:val="231F20"/>
        </w:rPr>
        <w:t>rifampin and</w:t>
      </w:r>
      <w:r>
        <w:rPr>
          <w:color w:val="231F20"/>
        </w:rPr>
        <w:t xml:space="preserve"> should be completed within 6 months.</w:t>
      </w:r>
    </w:p>
    <w:p w14:paraId="08D34EB9" w14:textId="77777777" w:rsidR="00995A54" w:rsidRDefault="00995A54">
      <w:pPr>
        <w:pStyle w:val="BodyText"/>
        <w:spacing w:before="10"/>
        <w:rPr>
          <w:sz w:val="21"/>
        </w:rPr>
      </w:pPr>
    </w:p>
    <w:p w14:paraId="2D7FB858" w14:textId="77777777" w:rsidR="00995A54" w:rsidRDefault="00200C65">
      <w:pPr>
        <w:pStyle w:val="Heading1"/>
        <w:ind w:left="119"/>
      </w:pPr>
      <w:r>
        <w:rPr>
          <w:color w:val="355F91"/>
        </w:rPr>
        <w:t>Are there drug-drug interactions?</w:t>
      </w:r>
    </w:p>
    <w:p w14:paraId="17CFD719" w14:textId="77777777" w:rsidR="00995A54" w:rsidRDefault="00200C6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0" w:lineRule="auto"/>
        <w:ind w:left="479" w:right="242" w:hanging="360"/>
      </w:pPr>
      <w:proofErr w:type="spellStart"/>
      <w:r>
        <w:rPr>
          <w:color w:val="231F20"/>
        </w:rPr>
        <w:t>Rifamycins</w:t>
      </w:r>
      <w:proofErr w:type="spellEnd"/>
      <w:r>
        <w:rPr>
          <w:color w:val="231F20"/>
        </w:rPr>
        <w:t xml:space="preserve"> are inducers of cytochromes P450 3A4 &amp; P450 2C8/9 and can decrease blood levels of many drugs including hormonal contraceptives, warfarin, sulfonylureas, methadone, steroids, some cardiac medications, and some antibiotics including fluoroquinolones.</w:t>
      </w:r>
    </w:p>
    <w:p w14:paraId="1B7B865E" w14:textId="77777777" w:rsidR="00995A54" w:rsidRDefault="00200C6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0" w:lineRule="auto"/>
        <w:ind w:left="479" w:right="373" w:hanging="360"/>
      </w:pPr>
      <w:r>
        <w:rPr>
          <w:color w:val="231F20"/>
        </w:rPr>
        <w:t xml:space="preserve">Rifampin is contraindicated in HIV infected persons being treated with certain combinations of antiretroviral drugs (ARVs). In some </w:t>
      </w:r>
      <w:proofErr w:type="gramStart"/>
      <w:r>
        <w:rPr>
          <w:color w:val="231F20"/>
        </w:rPr>
        <w:t>cases</w:t>
      </w:r>
      <w:proofErr w:type="gramEnd"/>
      <w:r>
        <w:rPr>
          <w:color w:val="231F20"/>
        </w:rPr>
        <w:t xml:space="preserve"> rifabutin may be substituted for rifampin. Note that both rifampin and rifabutin interact with tenofovir alafenamide.</w:t>
      </w:r>
    </w:p>
    <w:p w14:paraId="6CDE8509" w14:textId="77777777" w:rsidR="00995A54" w:rsidRDefault="00200C6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0" w:lineRule="auto"/>
        <w:ind w:left="479" w:right="815" w:hanging="360"/>
      </w:pPr>
      <w:r>
        <w:rPr>
          <w:color w:val="231F20"/>
        </w:rPr>
        <w:t>More information on interactions with ARVs is available at 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URLs:</w:t>
      </w:r>
    </w:p>
    <w:p w14:paraId="5D8585D9" w14:textId="77777777" w:rsidR="00995A54" w:rsidRPr="00CC67F2" w:rsidRDefault="00895A8A" w:rsidP="00CC67F2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line="255" w:lineRule="exact"/>
      </w:pPr>
      <w:hyperlink r:id="rId17">
        <w:r w:rsidR="00200C65">
          <w:rPr>
            <w:color w:val="0563C1"/>
            <w:u w:val="single" w:color="0563C1"/>
          </w:rPr>
          <w:t>https://aidsinfo.nih.gov/guidelines</w:t>
        </w:r>
      </w:hyperlink>
    </w:p>
    <w:p w14:paraId="0A6DA402" w14:textId="1651DC85" w:rsidR="00CC67F2" w:rsidRDefault="00CC67F2" w:rsidP="00CC67F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55" w:lineRule="exact"/>
        <w:sectPr w:rsidR="00CC67F2" w:rsidSect="00CC67F2">
          <w:type w:val="continuous"/>
          <w:pgSz w:w="12240" w:h="15840"/>
          <w:pgMar w:top="1360" w:right="940" w:bottom="1260" w:left="9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</w:sectPr>
      </w:pPr>
    </w:p>
    <w:p w14:paraId="237689AD" w14:textId="2FDFD902" w:rsidR="00995A54" w:rsidRDefault="00995A54" w:rsidP="00CC67F2">
      <w:pPr>
        <w:tabs>
          <w:tab w:val="left" w:pos="839"/>
          <w:tab w:val="left" w:pos="841"/>
        </w:tabs>
        <w:spacing w:line="259" w:lineRule="exact"/>
      </w:pPr>
    </w:p>
    <w:p w14:paraId="158C6E05" w14:textId="263B9F5C" w:rsidR="00995A54" w:rsidRDefault="00995A54" w:rsidP="00D4467F">
      <w:pPr>
        <w:pStyle w:val="ListParagraph"/>
        <w:tabs>
          <w:tab w:val="left" w:pos="480"/>
          <w:tab w:val="left" w:pos="481"/>
        </w:tabs>
        <w:spacing w:before="7" w:line="254" w:lineRule="exact"/>
        <w:ind w:right="704" w:firstLine="0"/>
      </w:pPr>
    </w:p>
    <w:p w14:paraId="1767D476" w14:textId="77777777" w:rsidR="0095673C" w:rsidRPr="00D4467F" w:rsidRDefault="0095673C" w:rsidP="0095673C">
      <w:pPr>
        <w:pStyle w:val="BodyText"/>
        <w:spacing w:before="7"/>
      </w:pPr>
      <w:r w:rsidRPr="0095673C">
        <w:t>Adapted from California DPH June 2019</w:t>
      </w:r>
    </w:p>
    <w:p w14:paraId="476563D2" w14:textId="77777777" w:rsidR="00995A54" w:rsidRDefault="00995A54">
      <w:pPr>
        <w:spacing w:line="254" w:lineRule="exact"/>
        <w:sectPr w:rsidR="00995A54" w:rsidSect="00CC67F2">
          <w:type w:val="continuous"/>
          <w:pgSz w:w="12240" w:h="15840"/>
          <w:pgMar w:top="1360" w:right="940" w:bottom="1260" w:left="9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</w:sectPr>
      </w:pPr>
    </w:p>
    <w:p w14:paraId="03BEB5C8" w14:textId="77777777" w:rsidR="00D4467F" w:rsidRDefault="00D4467F">
      <w:pPr>
        <w:pStyle w:val="Heading1"/>
        <w:spacing w:before="78"/>
        <w:ind w:left="280"/>
        <w:rPr>
          <w:color w:val="355F91"/>
        </w:rPr>
      </w:pPr>
    </w:p>
    <w:p w14:paraId="63F64950" w14:textId="77777777" w:rsidR="00D4467F" w:rsidRPr="0095673C" w:rsidRDefault="00D4467F" w:rsidP="00D4467F">
      <w:pPr>
        <w:pStyle w:val="Heading1"/>
        <w:rPr>
          <w:color w:val="355F91"/>
        </w:rPr>
      </w:pPr>
      <w:r w:rsidRPr="0095673C">
        <w:rPr>
          <w:color w:val="355F91"/>
        </w:rPr>
        <w:t>What are the possible side effects?</w:t>
      </w:r>
    </w:p>
    <w:p w14:paraId="7A676796" w14:textId="77777777" w:rsidR="00D4467F" w:rsidRPr="0095673C" w:rsidRDefault="00D4467F" w:rsidP="00D4467F">
      <w:pPr>
        <w:pStyle w:val="Heading1"/>
        <w:numPr>
          <w:ilvl w:val="0"/>
          <w:numId w:val="4"/>
        </w:numPr>
        <w:rPr>
          <w:color w:val="355F91"/>
        </w:rPr>
      </w:pPr>
      <w:r w:rsidRPr="0095673C">
        <w:rPr>
          <w:b w:val="0"/>
          <w:bCs w:val="0"/>
        </w:rPr>
        <w:t>Rash and pruritis</w:t>
      </w:r>
    </w:p>
    <w:p w14:paraId="6BFDEA6A" w14:textId="77777777" w:rsidR="00D4467F" w:rsidRPr="0095673C" w:rsidRDefault="00D4467F" w:rsidP="00D4467F">
      <w:pPr>
        <w:pStyle w:val="Heading1"/>
        <w:numPr>
          <w:ilvl w:val="0"/>
          <w:numId w:val="4"/>
        </w:numPr>
        <w:rPr>
          <w:color w:val="355F91"/>
        </w:rPr>
      </w:pPr>
      <w:r w:rsidRPr="0095673C">
        <w:rPr>
          <w:b w:val="0"/>
          <w:bCs w:val="0"/>
        </w:rPr>
        <w:t>Upset GI tract</w:t>
      </w:r>
    </w:p>
    <w:p w14:paraId="0716C758" w14:textId="47BB7D90" w:rsidR="00D4467F" w:rsidRPr="0095673C" w:rsidRDefault="00D4467F" w:rsidP="00D4467F">
      <w:pPr>
        <w:pStyle w:val="Heading1"/>
        <w:numPr>
          <w:ilvl w:val="0"/>
          <w:numId w:val="4"/>
        </w:numPr>
        <w:rPr>
          <w:color w:val="355F91"/>
        </w:rPr>
      </w:pPr>
      <w:r w:rsidRPr="0095673C">
        <w:rPr>
          <w:b w:val="0"/>
          <w:bCs w:val="0"/>
        </w:rPr>
        <w:t>Hepatotoxicity</w:t>
      </w:r>
    </w:p>
    <w:p w14:paraId="0B7BF082" w14:textId="77777777" w:rsidR="00D4467F" w:rsidRPr="0095673C" w:rsidRDefault="00D4467F" w:rsidP="00D4467F">
      <w:pPr>
        <w:pStyle w:val="Heading1"/>
        <w:numPr>
          <w:ilvl w:val="0"/>
          <w:numId w:val="4"/>
        </w:numPr>
        <w:rPr>
          <w:color w:val="355F91"/>
        </w:rPr>
      </w:pPr>
      <w:r w:rsidRPr="0095673C">
        <w:rPr>
          <w:b w:val="0"/>
          <w:bCs w:val="0"/>
        </w:rPr>
        <w:t>Hematologic abnormalities including thrombocytopenia</w:t>
      </w:r>
    </w:p>
    <w:p w14:paraId="2CC660F4" w14:textId="77777777" w:rsidR="00D4467F" w:rsidRPr="0095673C" w:rsidRDefault="00D4467F" w:rsidP="00D4467F">
      <w:pPr>
        <w:pStyle w:val="Heading1"/>
        <w:numPr>
          <w:ilvl w:val="0"/>
          <w:numId w:val="4"/>
        </w:numPr>
        <w:rPr>
          <w:color w:val="355F91"/>
        </w:rPr>
      </w:pPr>
      <w:r w:rsidRPr="0095673C">
        <w:rPr>
          <w:b w:val="0"/>
          <w:bCs w:val="0"/>
        </w:rPr>
        <w:t>Orange staining of body fluids</w:t>
      </w:r>
    </w:p>
    <w:p w14:paraId="7ECCC8D6" w14:textId="77777777" w:rsidR="00D4467F" w:rsidRPr="0072173F" w:rsidRDefault="00D4467F" w:rsidP="00D4467F">
      <w:pPr>
        <w:pStyle w:val="Heading1"/>
        <w:ind w:left="840"/>
        <w:rPr>
          <w:color w:val="355F91"/>
        </w:rPr>
      </w:pPr>
    </w:p>
    <w:p w14:paraId="17B35D5D" w14:textId="1BFA2B94" w:rsidR="00995A54" w:rsidRDefault="00200C65">
      <w:pPr>
        <w:pStyle w:val="Heading1"/>
        <w:spacing w:before="78"/>
        <w:ind w:left="280"/>
      </w:pPr>
      <w:r>
        <w:rPr>
          <w:color w:val="355F91"/>
        </w:rPr>
        <w:t>What type of monitoring do I need to do?</w:t>
      </w:r>
    </w:p>
    <w:p w14:paraId="571165BE" w14:textId="77777777" w:rsidR="00995A54" w:rsidRDefault="00200C6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left="460" w:right="395" w:hanging="360"/>
      </w:pPr>
      <w:r>
        <w:rPr>
          <w:color w:val="231F20"/>
        </w:rPr>
        <w:t>Monthly interview and brief physical examination to identify treatment-associated adverse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events</w:t>
      </w:r>
    </w:p>
    <w:p w14:paraId="51790343" w14:textId="77777777" w:rsidR="00995A54" w:rsidRDefault="00200C6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8" w:line="252" w:lineRule="exact"/>
        <w:ind w:left="460" w:hanging="360"/>
      </w:pPr>
      <w:r>
        <w:rPr>
          <w:color w:val="231F20"/>
        </w:rPr>
        <w:t>Baseline hepatic chemistry is recommended 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patients with specific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conditions:</w:t>
      </w:r>
    </w:p>
    <w:p w14:paraId="2A7F07FE" w14:textId="77777777" w:rsidR="00995A54" w:rsidRDefault="00200C65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line="259" w:lineRule="exact"/>
        <w:ind w:left="1000" w:hanging="360"/>
      </w:pPr>
      <w:r>
        <w:rPr>
          <w:color w:val="231F20"/>
        </w:rPr>
        <w:t>HIV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infection</w:t>
      </w:r>
    </w:p>
    <w:p w14:paraId="66626F44" w14:textId="77777777" w:rsidR="00995A54" w:rsidRDefault="00200C65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line="253" w:lineRule="exact"/>
        <w:ind w:left="1000" w:hanging="360"/>
      </w:pPr>
      <w:r>
        <w:rPr>
          <w:color w:val="231F20"/>
        </w:rPr>
        <w:t>Liver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disorders</w:t>
      </w:r>
    </w:p>
    <w:p w14:paraId="6953754B" w14:textId="77777777" w:rsidR="00995A54" w:rsidRDefault="00200C65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before="4" w:line="223" w:lineRule="auto"/>
        <w:ind w:left="1000" w:right="217" w:hanging="360"/>
      </w:pPr>
      <w:r>
        <w:rPr>
          <w:color w:val="231F20"/>
        </w:rPr>
        <w:t>In the immediate (within 3 months) postpartum period</w:t>
      </w:r>
    </w:p>
    <w:p w14:paraId="41C7A62C" w14:textId="77777777" w:rsidR="00995A54" w:rsidRDefault="00200C65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before="2" w:line="262" w:lineRule="exact"/>
        <w:ind w:left="1000" w:hanging="360"/>
      </w:pPr>
      <w:r>
        <w:rPr>
          <w:color w:val="231F20"/>
        </w:rPr>
        <w:t>Regular alcohol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</w:p>
    <w:p w14:paraId="233EBD5A" w14:textId="77777777" w:rsidR="00995A54" w:rsidRDefault="00200C65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before="4" w:line="223" w:lineRule="auto"/>
        <w:ind w:left="1000" w:right="46" w:hanging="360"/>
      </w:pPr>
      <w:r>
        <w:rPr>
          <w:color w:val="231F20"/>
        </w:rPr>
        <w:t>Consider also for older persons and those taking medications for chronic medical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conditions</w:t>
      </w:r>
    </w:p>
    <w:p w14:paraId="38F2F798" w14:textId="77777777" w:rsidR="00995A54" w:rsidRDefault="00200C65">
      <w:pPr>
        <w:pStyle w:val="ListParagraph"/>
        <w:numPr>
          <w:ilvl w:val="0"/>
          <w:numId w:val="1"/>
        </w:numPr>
        <w:tabs>
          <w:tab w:val="left" w:pos="460"/>
          <w:tab w:val="left" w:pos="462"/>
        </w:tabs>
        <w:spacing w:before="22" w:line="252" w:lineRule="exact"/>
        <w:ind w:left="461" w:right="54"/>
      </w:pPr>
      <w:r>
        <w:rPr>
          <w:color w:val="231F20"/>
        </w:rPr>
        <w:t>If baseline hepatic chemistry testing is abnormal, continue with at least monthly testing and consider viral hepatitis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testing.</w:t>
      </w:r>
    </w:p>
    <w:p w14:paraId="0B915C24" w14:textId="77777777" w:rsidR="0095673C" w:rsidRDefault="00200C65">
      <w:pPr>
        <w:pStyle w:val="Heading1"/>
        <w:spacing w:before="77"/>
        <w:ind w:left="101"/>
        <w:rPr>
          <w:b w:val="0"/>
        </w:rPr>
      </w:pPr>
      <w:r>
        <w:rPr>
          <w:b w:val="0"/>
        </w:rPr>
        <w:br w:type="column"/>
      </w:r>
    </w:p>
    <w:p w14:paraId="5C114A26" w14:textId="17FACCD9" w:rsidR="00995A54" w:rsidRDefault="00200C65">
      <w:pPr>
        <w:pStyle w:val="Heading1"/>
        <w:spacing w:before="77"/>
        <w:ind w:left="101"/>
      </w:pPr>
      <w:r>
        <w:rPr>
          <w:color w:val="355F91"/>
        </w:rPr>
        <w:t>Resources</w:t>
      </w:r>
    </w:p>
    <w:p w14:paraId="529F45DB" w14:textId="77777777" w:rsidR="00CC67F2" w:rsidRPr="00CC67F2" w:rsidRDefault="00CC67F2" w:rsidP="00CC67F2">
      <w:pPr>
        <w:pStyle w:val="BodyText"/>
        <w:spacing w:before="11"/>
        <w:rPr>
          <w:sz w:val="21"/>
        </w:rPr>
      </w:pPr>
      <w:r w:rsidRPr="00CC67F2">
        <w:rPr>
          <w:sz w:val="21"/>
        </w:rPr>
        <w:t xml:space="preserve">  Virginia Department of Health</w:t>
      </w:r>
    </w:p>
    <w:p w14:paraId="4347D161" w14:textId="77777777" w:rsidR="00CC67F2" w:rsidRPr="00CC67F2" w:rsidRDefault="00CC67F2" w:rsidP="00CC67F2">
      <w:pPr>
        <w:pStyle w:val="BodyText"/>
        <w:spacing w:before="11"/>
        <w:rPr>
          <w:sz w:val="21"/>
          <w:lang w:val="es-419"/>
        </w:rPr>
      </w:pPr>
      <w:r w:rsidRPr="00CC67F2">
        <w:rPr>
          <w:sz w:val="21"/>
          <w:lang w:val="es-419"/>
        </w:rPr>
        <w:t xml:space="preserve">  Tuberculosis Control </w:t>
      </w:r>
      <w:proofErr w:type="spellStart"/>
      <w:r w:rsidRPr="00CC67F2">
        <w:rPr>
          <w:sz w:val="21"/>
          <w:lang w:val="es-419"/>
        </w:rPr>
        <w:t>Program</w:t>
      </w:r>
      <w:proofErr w:type="spellEnd"/>
    </w:p>
    <w:p w14:paraId="35384284" w14:textId="77777777" w:rsidR="00CC67F2" w:rsidRPr="00CC67F2" w:rsidRDefault="00CC67F2" w:rsidP="00CC67F2">
      <w:pPr>
        <w:pStyle w:val="BodyText"/>
        <w:spacing w:before="11"/>
        <w:rPr>
          <w:sz w:val="21"/>
          <w:lang w:val="es-419"/>
        </w:rPr>
      </w:pPr>
      <w:r w:rsidRPr="00CC67F2">
        <w:rPr>
          <w:sz w:val="21"/>
          <w:lang w:val="es-419"/>
        </w:rPr>
        <w:t xml:space="preserve">  </w:t>
      </w:r>
      <w:hyperlink r:id="rId18" w:history="1">
        <w:r w:rsidRPr="00CC67F2">
          <w:rPr>
            <w:rStyle w:val="Hyperlink"/>
            <w:sz w:val="21"/>
            <w:lang w:val="es-419"/>
          </w:rPr>
          <w:t>www.vdh.virginia.gov/tuberculosis-and-newcomer-health</w:t>
        </w:r>
      </w:hyperlink>
    </w:p>
    <w:p w14:paraId="4A5C9858" w14:textId="77777777" w:rsidR="00CC67F2" w:rsidRPr="00CC67F2" w:rsidRDefault="00CC67F2" w:rsidP="00CC67F2">
      <w:pPr>
        <w:pStyle w:val="BodyText"/>
        <w:spacing w:before="11"/>
        <w:rPr>
          <w:sz w:val="21"/>
        </w:rPr>
      </w:pPr>
      <w:r w:rsidRPr="00A02A57">
        <w:rPr>
          <w:sz w:val="21"/>
          <w:lang w:val="es-419"/>
        </w:rPr>
        <w:t xml:space="preserve">  </w:t>
      </w:r>
      <w:r w:rsidRPr="00CC67F2">
        <w:rPr>
          <w:sz w:val="21"/>
        </w:rPr>
        <w:t>804-864-7906</w:t>
      </w:r>
    </w:p>
    <w:p w14:paraId="07C16ED5" w14:textId="77777777" w:rsidR="00995A54" w:rsidRDefault="00995A54">
      <w:pPr>
        <w:pStyle w:val="BodyText"/>
        <w:spacing w:before="10"/>
        <w:rPr>
          <w:sz w:val="21"/>
        </w:rPr>
      </w:pPr>
    </w:p>
    <w:p w14:paraId="22C59C20" w14:textId="77777777" w:rsidR="00995A54" w:rsidRDefault="00200C65">
      <w:pPr>
        <w:pStyle w:val="BodyText"/>
        <w:ind w:left="100" w:right="1566"/>
        <w:jc w:val="both"/>
      </w:pPr>
      <w:r>
        <w:rPr>
          <w:color w:val="231F20"/>
        </w:rPr>
        <w:t xml:space="preserve">Centers for Disease Control and Prevention Division of Tuberculosis Elimination website: </w:t>
      </w:r>
      <w:hyperlink r:id="rId19">
        <w:r>
          <w:rPr>
            <w:color w:val="3953A4"/>
            <w:u w:val="single" w:color="3953A4"/>
          </w:rPr>
          <w:t>http://www.cdc.gov/tb/</w:t>
        </w:r>
      </w:hyperlink>
    </w:p>
    <w:p w14:paraId="16588D49" w14:textId="77777777" w:rsidR="00995A54" w:rsidRDefault="00995A54">
      <w:pPr>
        <w:pStyle w:val="BodyText"/>
        <w:rPr>
          <w:sz w:val="24"/>
        </w:rPr>
      </w:pPr>
    </w:p>
    <w:p w14:paraId="5E30F1AD" w14:textId="2FC38F60" w:rsidR="00A02A57" w:rsidRPr="0095673C" w:rsidRDefault="00200C65" w:rsidP="00A02A57">
      <w:pPr>
        <w:pStyle w:val="BodyText"/>
        <w:ind w:left="100" w:right="481"/>
      </w:pPr>
      <w:r>
        <w:rPr>
          <w:color w:val="231F20"/>
        </w:rPr>
        <w:t xml:space="preserve">American Academy of Pediatrics, Red Book Online, Tuberculosis: </w:t>
      </w:r>
      <w:hyperlink r:id="rId20">
        <w:r>
          <w:rPr>
            <w:color w:val="0563C1"/>
            <w:u w:val="single" w:color="3953A4"/>
          </w:rPr>
          <w:t>https://redbook.solutions.aap.org/chapter.aspx?sectionid=</w:t>
        </w:r>
      </w:hyperlink>
      <w:r>
        <w:rPr>
          <w:color w:val="0563C1"/>
          <w:u w:val="single" w:color="3953A4"/>
        </w:rPr>
        <w:t xml:space="preserve"> </w:t>
      </w:r>
      <w:hyperlink r:id="rId21">
        <w:r>
          <w:rPr>
            <w:color w:val="0563C1"/>
            <w:u w:val="single" w:color="3953A4"/>
          </w:rPr>
          <w:t>189640207&amp;bookid=2205</w:t>
        </w:r>
      </w:hyperlink>
    </w:p>
    <w:p w14:paraId="442BBB55" w14:textId="48633E6F" w:rsidR="00CC67F2" w:rsidRPr="0095673C" w:rsidRDefault="00CC67F2">
      <w:r w:rsidRPr="0095673C">
        <w:t>Global Tuberculosis Institute</w:t>
      </w:r>
    </w:p>
    <w:p w14:paraId="19906CCE" w14:textId="6C35DAE3" w:rsidR="00CC67F2" w:rsidRPr="0095673C" w:rsidRDefault="00D4467F">
      <w:r w:rsidRPr="0095673C">
        <w:t xml:space="preserve">  </w:t>
      </w:r>
      <w:hyperlink r:id="rId22" w:history="1">
        <w:r w:rsidRPr="0095673C">
          <w:rPr>
            <w:rStyle w:val="Hyperlink"/>
          </w:rPr>
          <w:t>http://globaltb.njms.rutgers.edu/</w:t>
        </w:r>
      </w:hyperlink>
    </w:p>
    <w:p w14:paraId="12EC210A" w14:textId="533B3962" w:rsidR="00CC67F2" w:rsidRDefault="00D4467F">
      <w:r w:rsidRPr="0095673C">
        <w:t xml:space="preserve">  </w:t>
      </w:r>
      <w:r w:rsidR="00CC67F2" w:rsidRPr="0095673C">
        <w:t>973-972-3270</w:t>
      </w:r>
    </w:p>
    <w:p w14:paraId="1EB09178" w14:textId="77777777" w:rsidR="00CC67F2" w:rsidRDefault="00CC67F2"/>
    <w:p w14:paraId="16B4509E" w14:textId="05476313" w:rsidR="00CC67F2" w:rsidRDefault="00CC67F2">
      <w:pPr>
        <w:sectPr w:rsidR="00CC67F2" w:rsidSect="003A74D5">
          <w:pgSz w:w="12240" w:h="15840"/>
          <w:pgMar w:top="1360" w:right="640" w:bottom="1260" w:left="800" w:header="0" w:footer="106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4933" w:space="646"/>
            <w:col w:w="5221"/>
          </w:cols>
          <w:titlePg/>
          <w:docGrid w:linePitch="299"/>
        </w:sectPr>
      </w:pPr>
    </w:p>
    <w:p w14:paraId="124A8160" w14:textId="77777777" w:rsidR="0095673C" w:rsidRPr="00D4467F" w:rsidRDefault="0095673C" w:rsidP="0095673C">
      <w:pPr>
        <w:pStyle w:val="BodyText"/>
        <w:spacing w:before="7"/>
      </w:pPr>
      <w:r w:rsidRPr="0095673C">
        <w:t>Adapted from California DPH June 2019</w:t>
      </w:r>
    </w:p>
    <w:p w14:paraId="36BB47D8" w14:textId="478F879F" w:rsidR="00D4467F" w:rsidRPr="0095673C" w:rsidRDefault="00D4467F">
      <w:pPr>
        <w:pStyle w:val="BodyText"/>
        <w:spacing w:before="7"/>
      </w:pPr>
    </w:p>
    <w:sectPr w:rsidR="00D4467F" w:rsidRPr="0095673C" w:rsidSect="00CC67F2">
      <w:type w:val="continuous"/>
      <w:pgSz w:w="12240" w:h="15840"/>
      <w:pgMar w:top="1360" w:right="640" w:bottom="1260" w:left="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0E9F" w14:textId="77777777" w:rsidR="00895A8A" w:rsidRDefault="00895A8A">
      <w:r>
        <w:separator/>
      </w:r>
    </w:p>
  </w:endnote>
  <w:endnote w:type="continuationSeparator" w:id="0">
    <w:p w14:paraId="603CB025" w14:textId="77777777" w:rsidR="00895A8A" w:rsidRDefault="0089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3B45" w14:textId="77777777" w:rsidR="00A02A57" w:rsidRDefault="00A02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159648"/>
      <w:docPartObj>
        <w:docPartGallery w:val="Page Numbers (Bottom of Page)"/>
        <w:docPartUnique/>
      </w:docPartObj>
    </w:sdtPr>
    <w:sdtEndPr/>
    <w:sdtContent>
      <w:p w14:paraId="5044276E" w14:textId="21C80A73" w:rsidR="0095673C" w:rsidRDefault="0095673C" w:rsidP="0095673C">
        <w:pPr>
          <w:pStyle w:val="Footer"/>
        </w:pPr>
        <w:r>
          <w:t>FHD-CL-T-1B</w:t>
        </w:r>
        <w:r w:rsidR="00AF7834">
          <w:t xml:space="preserve"> Rev. 07/2019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C545603" w14:textId="0DBE154F" w:rsidR="00995A54" w:rsidRDefault="00995A5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1319"/>
      <w:docPartObj>
        <w:docPartGallery w:val="Page Numbers (Bottom of Page)"/>
        <w:docPartUnique/>
      </w:docPartObj>
    </w:sdtPr>
    <w:sdtEndPr/>
    <w:sdtContent>
      <w:p w14:paraId="1E42722C" w14:textId="7254EDEA" w:rsidR="0095673C" w:rsidRDefault="0095673C" w:rsidP="0095673C">
        <w:pPr>
          <w:pStyle w:val="Footer"/>
        </w:pPr>
        <w:r>
          <w:t xml:space="preserve">FHD-CL-T-1B </w:t>
        </w:r>
        <w:r w:rsidR="00AF7834">
          <w:t>Rev</w:t>
        </w:r>
        <w:r w:rsidR="002945D3">
          <w:t>. 07/2019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59156A0" w14:textId="77777777" w:rsidR="0095673C" w:rsidRDefault="00956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7FAE" w14:textId="77777777" w:rsidR="00895A8A" w:rsidRDefault="00895A8A">
      <w:r>
        <w:separator/>
      </w:r>
    </w:p>
  </w:footnote>
  <w:footnote w:type="continuationSeparator" w:id="0">
    <w:p w14:paraId="780FAC30" w14:textId="77777777" w:rsidR="00895A8A" w:rsidRDefault="0089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944F" w14:textId="77777777" w:rsidR="00A02A57" w:rsidRDefault="00A02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8A78" w14:textId="44FC44F7" w:rsidR="003A74D5" w:rsidRDefault="003A74D5">
    <w:pPr>
      <w:pStyle w:val="Header"/>
    </w:pPr>
    <w:r>
      <w:rPr>
        <w:noProof/>
      </w:rPr>
      <w:drawing>
        <wp:inline distT="0" distB="0" distL="0" distR="0" wp14:anchorId="1CEE97B7" wp14:editId="6D20B3BA">
          <wp:extent cx="466725" cy="465481"/>
          <wp:effectExtent l="0" t="0" r="0" b="0"/>
          <wp:docPr id="36" name="Picture 36" descr="Fairfax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oSeal-BW-HighRes-1in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770" cy="49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BC01" w14:textId="379EE606" w:rsidR="0095673C" w:rsidRDefault="0095673C">
    <w:pPr>
      <w:pStyle w:val="Header"/>
    </w:pPr>
  </w:p>
  <w:p w14:paraId="65EB45ED" w14:textId="0DE68C76" w:rsidR="0095673C" w:rsidRDefault="0095673C">
    <w:pPr>
      <w:pStyle w:val="Header"/>
    </w:pPr>
  </w:p>
  <w:p w14:paraId="60A74BE7" w14:textId="0D17D03C" w:rsidR="0095673C" w:rsidRDefault="0095673C">
    <w:pPr>
      <w:pStyle w:val="Header"/>
    </w:pPr>
  </w:p>
  <w:p w14:paraId="659C562D" w14:textId="39ABE255" w:rsidR="0095673C" w:rsidRDefault="0095673C">
    <w:pPr>
      <w:pStyle w:val="Header"/>
    </w:pPr>
    <w:r>
      <w:rPr>
        <w:noProof/>
      </w:rPr>
      <w:drawing>
        <wp:inline distT="0" distB="0" distL="0" distR="0" wp14:anchorId="12169A8B" wp14:editId="21DA9315">
          <wp:extent cx="550744" cy="549275"/>
          <wp:effectExtent l="0" t="0" r="1905" b="3175"/>
          <wp:docPr id="1" name="Picture 1" descr="Fairfax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eal-BW-HighRes-1in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03" cy="55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D58"/>
    <w:multiLevelType w:val="hybridMultilevel"/>
    <w:tmpl w:val="31F4C9F6"/>
    <w:lvl w:ilvl="0" w:tplc="7878238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9E819E">
      <w:numFmt w:val="bullet"/>
      <w:lvlText w:val="o"/>
      <w:lvlJc w:val="left"/>
      <w:pPr>
        <w:ind w:left="8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FBA5AD2"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BF76C93E">
      <w:numFmt w:val="bullet"/>
      <w:lvlText w:val="•"/>
      <w:lvlJc w:val="left"/>
      <w:pPr>
        <w:ind w:left="778" w:hanging="361"/>
      </w:pPr>
      <w:rPr>
        <w:rFonts w:hint="default"/>
      </w:rPr>
    </w:lvl>
    <w:lvl w:ilvl="4" w:tplc="FDE295B6">
      <w:numFmt w:val="bullet"/>
      <w:lvlText w:val="•"/>
      <w:lvlJc w:val="left"/>
      <w:pPr>
        <w:ind w:left="557" w:hanging="361"/>
      </w:pPr>
      <w:rPr>
        <w:rFonts w:hint="default"/>
      </w:rPr>
    </w:lvl>
    <w:lvl w:ilvl="5" w:tplc="F836C864">
      <w:numFmt w:val="bullet"/>
      <w:lvlText w:val="•"/>
      <w:lvlJc w:val="left"/>
      <w:pPr>
        <w:ind w:left="336" w:hanging="361"/>
      </w:pPr>
      <w:rPr>
        <w:rFonts w:hint="default"/>
      </w:rPr>
    </w:lvl>
    <w:lvl w:ilvl="6" w:tplc="5ED0CFBC">
      <w:numFmt w:val="bullet"/>
      <w:lvlText w:val="•"/>
      <w:lvlJc w:val="left"/>
      <w:pPr>
        <w:ind w:left="115" w:hanging="361"/>
      </w:pPr>
      <w:rPr>
        <w:rFonts w:hint="default"/>
      </w:rPr>
    </w:lvl>
    <w:lvl w:ilvl="7" w:tplc="088A0CBE">
      <w:numFmt w:val="bullet"/>
      <w:lvlText w:val="•"/>
      <w:lvlJc w:val="left"/>
      <w:pPr>
        <w:ind w:left="-106" w:hanging="361"/>
      </w:pPr>
      <w:rPr>
        <w:rFonts w:hint="default"/>
      </w:rPr>
    </w:lvl>
    <w:lvl w:ilvl="8" w:tplc="4044E044">
      <w:numFmt w:val="bullet"/>
      <w:lvlText w:val="•"/>
      <w:lvlJc w:val="left"/>
      <w:pPr>
        <w:ind w:left="-327" w:hanging="361"/>
      </w:pPr>
      <w:rPr>
        <w:rFonts w:hint="default"/>
      </w:rPr>
    </w:lvl>
  </w:abstractNum>
  <w:abstractNum w:abstractNumId="1" w15:restartNumberingAfterBreak="0">
    <w:nsid w:val="358B5B57"/>
    <w:multiLevelType w:val="hybridMultilevel"/>
    <w:tmpl w:val="B1B8955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9C969A7"/>
    <w:multiLevelType w:val="hybridMultilevel"/>
    <w:tmpl w:val="FD08C7AA"/>
    <w:lvl w:ilvl="0" w:tplc="58669F0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3B04486"/>
    <w:multiLevelType w:val="hybridMultilevel"/>
    <w:tmpl w:val="7EEEFF5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54"/>
    <w:rsid w:val="00200C65"/>
    <w:rsid w:val="00245A69"/>
    <w:rsid w:val="002945D3"/>
    <w:rsid w:val="002A6AB5"/>
    <w:rsid w:val="003216B9"/>
    <w:rsid w:val="003A74D5"/>
    <w:rsid w:val="003B5904"/>
    <w:rsid w:val="00553D03"/>
    <w:rsid w:val="006C1258"/>
    <w:rsid w:val="006D2850"/>
    <w:rsid w:val="0072173F"/>
    <w:rsid w:val="007D0405"/>
    <w:rsid w:val="00895A8A"/>
    <w:rsid w:val="0095673C"/>
    <w:rsid w:val="00995A54"/>
    <w:rsid w:val="00A02A57"/>
    <w:rsid w:val="00AF7834"/>
    <w:rsid w:val="00C560D9"/>
    <w:rsid w:val="00CC67F2"/>
    <w:rsid w:val="00D4467F"/>
    <w:rsid w:val="00E55757"/>
    <w:rsid w:val="00E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DAFA4"/>
  <w15:docId w15:val="{78CCBB76-6AD2-4790-B19F-4678004F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line="252" w:lineRule="exact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ind w:left="91"/>
    </w:pPr>
  </w:style>
  <w:style w:type="character" w:styleId="Hyperlink">
    <w:name w:val="Hyperlink"/>
    <w:basedOn w:val="DefaultParagraphFont"/>
    <w:uiPriority w:val="99"/>
    <w:unhideWhenUsed/>
    <w:rsid w:val="007217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7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7F2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C6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F2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vdh.virginia.gov/tuberculosis-and-newcomer-healt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dbook.solutions.aap.org/chapter.aspx?sectionid=189640207&amp;amp;bookid=2205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aidsinfo.nih.gov/guidelin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redbook.solutions.aap.org/chapter.aspx?sectionid=189640207&amp;amp;bookid=22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cdc.gov/tb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globaltb.njms.rutgers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5A6E1EBD9B045BFEDAED642CB8055" ma:contentTypeVersion="13" ma:contentTypeDescription="Create a new document." ma:contentTypeScope="" ma:versionID="d5c2be559fb61d5a5d086278e81ccd1a">
  <xsd:schema xmlns:xsd="http://www.w3.org/2001/XMLSchema" xmlns:xs="http://www.w3.org/2001/XMLSchema" xmlns:p="http://schemas.microsoft.com/office/2006/metadata/properties" xmlns:ns2="9e485c73-6d97-44ad-be46-a771a3bf554d" xmlns:ns3="56929206-870e-4a6f-a229-923d8c4e1fc9" xmlns:ns4="1bbbabad-0fab-4688-bc3c-b10b86659f04" xmlns:ns5="dba358f0-9990-495c-8af8-fa9baed2c8ad" targetNamespace="http://schemas.microsoft.com/office/2006/metadata/properties" ma:root="true" ma:fieldsID="db88c2c18975b81606859599c4af2eb7" ns2:_="" ns3:_="" ns4:_="" ns5:_="">
    <xsd:import namespace="9e485c73-6d97-44ad-be46-a771a3bf554d"/>
    <xsd:import namespace="56929206-870e-4a6f-a229-923d8c4e1fc9"/>
    <xsd:import namespace="1bbbabad-0fab-4688-bc3c-b10b86659f04"/>
    <xsd:import namespace="dba358f0-9990-495c-8af8-fa9baed2c8ad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Audience"/>
                <xsd:element ref="ns3:Category"/>
                <xsd:element ref="ns4:TaxKeywordTaxHTField" minOccurs="0"/>
                <xsd:element ref="ns5:TaxCatchAll" minOccurs="0"/>
                <xsd:element ref="ns2:Number"/>
                <xsd:element ref="ns2:Speech_x0020__x0026__x0020_Hearing_x0020_sub_x002d_category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85c73-6d97-44ad-be46-a771a3bf554d" elementFormDefault="qualified">
    <xsd:import namespace="http://schemas.microsoft.com/office/2006/documentManagement/types"/>
    <xsd:import namespace="http://schemas.microsoft.com/office/infopath/2007/PartnerControls"/>
    <xsd:element name="Description0" ma:index="2" ma:displayName="Form Type" ma:default="Form" ma:format="Dropdown" ma:internalName="Description0">
      <xsd:simpleType>
        <xsd:restriction base="dms:Choice">
          <xsd:enumeration value="Form"/>
          <xsd:enumeration value="Program Docs/Misc."/>
          <xsd:enumeration value="Admin Process Manual"/>
          <xsd:enumeration value="Nursing Procedure"/>
          <xsd:enumeration value="Standing Order"/>
        </xsd:restriction>
      </xsd:simpleType>
    </xsd:element>
    <xsd:element name="Audience" ma:index="3" ma:displayName="Audience" ma:default="PCS" ma:format="Dropdown" ma:internalName="Audience">
      <xsd:simpleType>
        <xsd:restriction base="dms:Choice">
          <xsd:enumeration value="PCS"/>
          <xsd:enumeration value="PCS/Lab"/>
          <xsd:enumeration value="All Staff"/>
        </xsd:restriction>
      </xsd:simpleType>
    </xsd:element>
    <xsd:element name="Number" ma:index="14" ma:displayName="Number" ma:description="Enter &quot;1&quot; unless form's name is an HD form number. In that case, put numeric portion of form number." ma:internalName="Number" ma:percentage="FALSE">
      <xsd:simpleType>
        <xsd:restriction base="dms:Number"/>
      </xsd:simpleType>
    </xsd:element>
    <xsd:element name="Speech_x0020__x0026__x0020_Hearing_x0020_sub_x002d_category" ma:index="15" nillable="true" ma:displayName="Sp.&amp;Hrg sub-category" ma:description="Speech &amp; Hearing Program's sub-category (ONLY for S&amp;H)" ma:format="Dropdown" ma:internalName="Speech_x0020__x0026__x0020_Hearing_x0020_sub_x002d_category">
      <xsd:simpleType>
        <xsd:restriction base="dms:Choice">
          <xsd:enumeration value="Administrative"/>
          <xsd:enumeration value="Staff Meeting Minutes"/>
          <xsd:enumeration value="Policies and Procedures"/>
          <xsd:enumeration value="Clinical Documentation"/>
          <xsd:enumeration value="Audiology Screening"/>
          <xsd:enumeration value="Audiology Evaluation"/>
          <xsd:enumeration value="Audiology Reports"/>
          <xsd:enumeration value="Speech Screening"/>
          <xsd:enumeration value="Speech Evaluation"/>
          <xsd:enumeration value="Speech Reports"/>
          <xsd:enumeration value="Speech Treat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9206-870e-4a6f-a229-923d8c4e1fc9" elementFormDefault="qualified">
    <xsd:import namespace="http://schemas.microsoft.com/office/2006/documentManagement/types"/>
    <xsd:import namespace="http://schemas.microsoft.com/office/infopath/2007/PartnerControls"/>
    <xsd:element name="Category" ma:index="4" ma:displayName="Category" ma:description="To describe the program or topic area to which the form relates" ma:format="Dropdown" ma:internalName="Category">
      <xsd:simpleType>
        <xsd:restriction base="dms:Choice">
          <xsd:enumeration value="ADAP"/>
          <xsd:enumeration value="ADHC"/>
          <xsd:enumeration value="ADHC Annual Record Review"/>
          <xsd:enumeration value="ADHC - For Licensing"/>
          <xsd:enumeration value="ADHC - Misc. Forms"/>
          <xsd:enumeration value="Appointment Scheduling Process"/>
          <xsd:enumeration value="AVATAR"/>
          <xsd:enumeration value="AVATAR-APM"/>
          <xsd:enumeration value="CD"/>
          <xsd:enumeration value="CHCN"/>
          <xsd:enumeration value="Check-In Process"/>
          <xsd:enumeration value="Check-Out Process"/>
          <xsd:enumeration value="COD"/>
          <xsd:enumeration value="Combination Vaccines"/>
          <xsd:enumeration value="Communications"/>
          <xsd:enumeration value="CRS"/>
          <xsd:enumeration value="Dental"/>
          <xsd:enumeration value="Eye"/>
          <xsd:enumeration value="Facility Management Processes"/>
          <xsd:enumeration value="FAW"/>
          <xsd:enumeration value="Financial Management"/>
          <xsd:enumeration value="General"/>
          <xsd:enumeration value="Hepatitis C"/>
          <xsd:enumeration value="HFF"/>
          <xsd:enumeration value="HIPAA"/>
          <xsd:enumeration value="Homeless Medical Services"/>
          <xsd:enumeration value="HRDO MVDO S &amp; H"/>
          <xsd:enumeration value="Human Resources Forms - PCS"/>
          <xsd:enumeration value="Immune Globulin"/>
          <xsd:enumeration value="Immunizations"/>
          <xsd:enumeration value="Infection Prevention &amp; Control"/>
          <xsd:enumeration value="International Travel Vaccines"/>
          <xsd:enumeration value="Kelly Square Processes"/>
          <xsd:enumeration value="Lab"/>
          <xsd:enumeration value="Liaison"/>
          <xsd:enumeration value="Long Term Care"/>
          <xsd:enumeration value="Manual Mode"/>
          <xsd:enumeration value="Maternity"/>
          <xsd:enumeration value="NOD Cart"/>
          <xsd:enumeration value="Nurse-Family Partnership"/>
          <xsd:enumeration value="Nursing Council"/>
          <xsd:enumeration value="Orientation"/>
          <xsd:enumeration value="PCPT"/>
          <xsd:enumeration value="PCS - Administration"/>
          <xsd:enumeration value="Pediatrics"/>
          <xsd:enumeration value="Pharmacy"/>
          <xsd:enumeration value="Physician Schedules"/>
          <xsd:enumeration value="Program Standards"/>
          <xsd:enumeration value="Record Management Processes"/>
          <xsd:enumeration value="Refugee"/>
          <xsd:enumeration value="Routine Childhood and Adult Vaccinations"/>
          <xsd:enumeration value="Shelters"/>
          <xsd:enumeration value="Speech and Hearing"/>
          <xsd:enumeration value="STD"/>
          <xsd:enumeration value="Technology"/>
          <xsd:enumeration value="Temporary Guidance"/>
          <xsd:enumeration value="TB"/>
          <xsd:enumeration value="TB-Xray-Letter"/>
          <xsd:enumeration value="Treatment Entry Process"/>
          <xsd:enumeration value="Vital Records Process"/>
          <xsd:enumeration value="X-Ray Proc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babad-0fab-4688-bc3c-b10b86659f0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58f0-9990-495c-8af8-fa9baed2c8a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f094f41-ef3d-4d19-a2f0-a8a808a98f44}" ma:internalName="TaxCatchAll" ma:showField="CatchAllData" ma:web="dba358f0-9990-495c-8af8-fa9baed2c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9e485c73-6d97-44ad-be46-a771a3bf554d">1.2</Number>
    <Description0 xmlns="9e485c73-6d97-44ad-be46-a771a3bf554d">Form</Description0>
    <TaxCatchAll xmlns="dba358f0-9990-495c-8af8-fa9baed2c8ad">
      <Value>41</Value>
      <Value>550</Value>
      <Value>1668</Value>
      <Value>884</Value>
    </TaxCatchAll>
    <TaxKeywordTaxHTField xmlns="1bbbabad-0fab-4688-bc3c-b10b86659f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TB</TermName>
          <TermId xmlns="http://schemas.microsoft.com/office/infopath/2007/PartnerControls">7a7c0b6a-e155-4a8c-9e55-06171af77d91</TermId>
        </TermInfo>
        <TermInfo xmlns="http://schemas.microsoft.com/office/infopath/2007/PartnerControls">
          <TermName xmlns="http://schemas.microsoft.com/office/infopath/2007/PartnerControls">LTBI</TermName>
          <TermId xmlns="http://schemas.microsoft.com/office/infopath/2007/PartnerControls">be04c8ef-5c38-4ac7-94b7-e62bce940174</TermId>
        </TermInfo>
        <TermInfo xmlns="http://schemas.microsoft.com/office/infopath/2007/PartnerControls">
          <TermName xmlns="http://schemas.microsoft.com/office/infopath/2007/PartnerControls">RIFAMPIN</TermName>
          <TermId xmlns="http://schemas.microsoft.com/office/infopath/2007/PartnerControls">286c92f3-2d33-41c9-8b32-7ce3a69ce292</TermId>
        </TermInfo>
        <TermInfo xmlns="http://schemas.microsoft.com/office/infopath/2007/PartnerControls">
          <TermName xmlns="http://schemas.microsoft.com/office/infopath/2007/PartnerControls">Treatment</TermName>
          <TermId xmlns="http://schemas.microsoft.com/office/infopath/2007/PartnerControls">6fc5eb13-0bc4-4a0e-a237-5aa68e69298a</TermId>
        </TermInfo>
      </Terms>
    </TaxKeywordTaxHTField>
    <Audience xmlns="9e485c73-6d97-44ad-be46-a771a3bf554d">PCS</Audience>
    <Category xmlns="56929206-870e-4a6f-a229-923d8c4e1fc9">TB</Category>
    <Speech_x0020__x0026__x0020_Hearing_x0020_sub_x002d_category xmlns="9e485c73-6d97-44ad-be46-a771a3bf554d" xsi:nil="true"/>
    <_dlc_DocId xmlns="dba358f0-9990-495c-8af8-fa9baed2c8ad">2S24QMQRMMTR-38-3142</_dlc_DocId>
    <_dlc_DocIdUrl xmlns="dba358f0-9990-495c-8af8-fa9baed2c8ad">
      <Url>http://fairfaxnet.fairfaxcounty.gov/agencies/HD/pcs/_layouts/15/DocIdRedir.aspx?ID=2S24QMQRMMTR-38-3142</Url>
      <Description>2S24QMQRMMTR-38-3142</Description>
    </_dlc_DocIdUrl>
  </documentManagement>
</p:properties>
</file>

<file path=customXml/itemProps1.xml><?xml version="1.0" encoding="utf-8"?>
<ds:datastoreItem xmlns:ds="http://schemas.openxmlformats.org/officeDocument/2006/customXml" ds:itemID="{32194847-6647-4DA7-8F41-AB4BA3FBF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85c73-6d97-44ad-be46-a771a3bf554d"/>
    <ds:schemaRef ds:uri="56929206-870e-4a6f-a229-923d8c4e1fc9"/>
    <ds:schemaRef ds:uri="1bbbabad-0fab-4688-bc3c-b10b86659f04"/>
    <ds:schemaRef ds:uri="dba358f0-9990-495c-8af8-fa9baed2c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74A8C-FC4B-4F87-8194-BEF47CE9E7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A11F72-39A3-4F71-9400-B455A0464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6423F-52DF-47C3-9670-119AEBD60219}">
  <ds:schemaRefs>
    <ds:schemaRef ds:uri="http://schemas.microsoft.com/office/2006/metadata/properties"/>
    <ds:schemaRef ds:uri="http://schemas.microsoft.com/office/infopath/2007/PartnerControls"/>
    <ds:schemaRef ds:uri="9e485c73-6d97-44ad-be46-a771a3bf554d"/>
    <ds:schemaRef ds:uri="dba358f0-9990-495c-8af8-fa9baed2c8ad"/>
    <ds:schemaRef ds:uri="1bbbabad-0fab-4688-bc3c-b10b86659f04"/>
    <ds:schemaRef ds:uri="56929206-870e-4a6f-a229-923d8c4e1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Rifampin Guidance Fact Sheet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Rifampin Guidance Fact Sheet</dc:title>
  <dc:creator>California Tuberculosis Control Branch</dc:creator>
  <cp:keywords>LTBI; TB; RIFAMPIN; Treatment</cp:keywords>
  <cp:lastModifiedBy>Pearce, Allyson</cp:lastModifiedBy>
  <cp:revision>2</cp:revision>
  <cp:lastPrinted>2019-07-24T19:49:00Z</cp:lastPrinted>
  <dcterms:created xsi:type="dcterms:W3CDTF">2019-10-22T14:52:00Z</dcterms:created>
  <dcterms:modified xsi:type="dcterms:W3CDTF">2019-10-22T14:52:00Z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2019-06-21T00:00:00Z</vt:filetime>
  </property>
  <property fmtid="{D5CDD505-2E9C-101B-9397-08002B2CF9AE}" pid="5" name="ContentTypeId">
    <vt:lpwstr>0x0101001385A6E1EBD9B045BFEDAED642CB8055</vt:lpwstr>
  </property>
  <property fmtid="{D5CDD505-2E9C-101B-9397-08002B2CF9AE}" pid="6" name="_dlc_DocIdItemGuid">
    <vt:lpwstr>355339e0-578c-4a3f-bb7d-e8d890a5e377</vt:lpwstr>
  </property>
  <property fmtid="{D5CDD505-2E9C-101B-9397-08002B2CF9AE}" pid="7" name="TaxKeyword">
    <vt:lpwstr>41;#TB|7a7c0b6a-e155-4a8c-9e55-06171af77d91;#550;#LTBI|be04c8ef-5c38-4ac7-94b7-e62bce940174;#1668;#RIFAMPIN|286c92f3-2d33-41c9-8b32-7ce3a69ce292;#884;#Treatment|6fc5eb13-0bc4-4a0e-a237-5aa68e69298a</vt:lpwstr>
  </property>
</Properties>
</file>