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0372C" w14:textId="77777777" w:rsidR="007B16F1" w:rsidRDefault="00F02F4E" w:rsidP="007B16F1">
      <w:pPr>
        <w:spacing w:before="78"/>
        <w:ind w:left="3714" w:right="1981" w:hanging="1777"/>
        <w:rPr>
          <w:b/>
          <w:color w:val="221F1F"/>
          <w:sz w:val="44"/>
        </w:rPr>
      </w:pPr>
      <w:bookmarkStart w:id="0" w:name="_GoBack"/>
      <w:bookmarkEnd w:id="0"/>
      <w:r>
        <w:rPr>
          <w:b/>
          <w:color w:val="221F1F"/>
          <w:sz w:val="44"/>
        </w:rPr>
        <w:t>Isoniazid (INH) for Latent</w:t>
      </w:r>
      <w:r>
        <w:rPr>
          <w:b/>
          <w:color w:val="221F1F"/>
          <w:spacing w:val="-73"/>
          <w:sz w:val="44"/>
        </w:rPr>
        <w:t xml:space="preserve"> </w:t>
      </w:r>
      <w:r>
        <w:rPr>
          <w:b/>
          <w:color w:val="221F1F"/>
          <w:sz w:val="44"/>
        </w:rPr>
        <w:t>TB Infection (LTBI)</w:t>
      </w:r>
      <w:r>
        <w:rPr>
          <w:b/>
          <w:color w:val="221F1F"/>
          <w:spacing w:val="-53"/>
          <w:sz w:val="44"/>
        </w:rPr>
        <w:t xml:space="preserve"> </w:t>
      </w:r>
      <w:r>
        <w:rPr>
          <w:b/>
          <w:color w:val="221F1F"/>
          <w:sz w:val="44"/>
        </w:rPr>
        <w:t>Treatment</w:t>
      </w:r>
    </w:p>
    <w:p w14:paraId="6042887F" w14:textId="49DFE2E5" w:rsidR="00563FEE" w:rsidRDefault="00563FEE" w:rsidP="007B16F1">
      <w:pPr>
        <w:spacing w:before="78"/>
        <w:ind w:left="3714" w:right="1981" w:hanging="1777"/>
        <w:jc w:val="center"/>
        <w:rPr>
          <w:b/>
          <w:sz w:val="44"/>
        </w:rPr>
      </w:pPr>
      <w:r>
        <w:rPr>
          <w:b/>
          <w:color w:val="221F1F"/>
          <w:sz w:val="44"/>
        </w:rPr>
        <w:t>FCHD Provider Fact Sheet</w:t>
      </w:r>
    </w:p>
    <w:p w14:paraId="7C7BE7FB" w14:textId="77777777" w:rsidR="00513FD9" w:rsidRDefault="00513FD9">
      <w:pPr>
        <w:pStyle w:val="BodyText"/>
        <w:spacing w:before="4"/>
        <w:ind w:firstLine="0"/>
        <w:rPr>
          <w:b/>
          <w:sz w:val="19"/>
        </w:rPr>
      </w:pPr>
    </w:p>
    <w:p w14:paraId="387F7A86" w14:textId="77777777" w:rsidR="00513FD9" w:rsidRDefault="00F02F4E">
      <w:pPr>
        <w:pStyle w:val="Heading1"/>
        <w:spacing w:before="101"/>
      </w:pPr>
      <w:r>
        <w:rPr>
          <w:color w:val="221F1F"/>
          <w:shd w:val="clear" w:color="auto" w:fill="D2D2D2"/>
        </w:rPr>
        <w:t>NOTE: It is imperative to rule out active TB disease in all persons prior to initiating treatment for LTBI</w:t>
      </w:r>
    </w:p>
    <w:p w14:paraId="0D8C47B7" w14:textId="77777777" w:rsidR="00513FD9" w:rsidRDefault="00513FD9">
      <w:pPr>
        <w:pStyle w:val="BodyText"/>
        <w:spacing w:before="10"/>
        <w:ind w:firstLine="0"/>
        <w:rPr>
          <w:b/>
          <w:sz w:val="21"/>
        </w:rPr>
      </w:pPr>
    </w:p>
    <w:p w14:paraId="59A7F392" w14:textId="77777777" w:rsidR="00513FD9" w:rsidRDefault="00F02F4E">
      <w:pPr>
        <w:spacing w:line="252" w:lineRule="exact"/>
        <w:ind w:left="140"/>
        <w:rPr>
          <w:b/>
        </w:rPr>
      </w:pPr>
      <w:r>
        <w:rPr>
          <w:b/>
          <w:color w:val="355F91"/>
        </w:rPr>
        <w:t>Is the regimen effective?</w:t>
      </w:r>
    </w:p>
    <w:p w14:paraId="1B381BCE" w14:textId="77777777" w:rsidR="00513FD9" w:rsidRDefault="00513FD9">
      <w:pPr>
        <w:spacing w:line="252" w:lineRule="exact"/>
        <w:sectPr w:rsidR="00513FD9" w:rsidSect="006E2B84">
          <w:footerReference w:type="default" r:id="rId11"/>
          <w:type w:val="continuous"/>
          <w:pgSz w:w="12240" w:h="15840"/>
          <w:pgMar w:top="1360" w:right="980" w:bottom="1040" w:left="940" w:header="720" w:footer="845" w:gutter="0"/>
          <w:pgBorders w:offsetFrom="page">
            <w:top w:val="double" w:sz="4" w:space="24" w:color="auto"/>
            <w:left w:val="double" w:sz="4" w:space="24" w:color="auto"/>
            <w:bottom w:val="double" w:sz="4" w:space="24" w:color="auto"/>
            <w:right w:val="double" w:sz="4" w:space="24" w:color="auto"/>
          </w:pgBorders>
          <w:pgNumType w:start="1"/>
          <w:cols w:space="720"/>
        </w:sectPr>
      </w:pPr>
    </w:p>
    <w:p w14:paraId="528F79AA" w14:textId="77777777" w:rsidR="00513FD9" w:rsidRDefault="00F02F4E">
      <w:pPr>
        <w:pStyle w:val="BodyText"/>
        <w:ind w:left="140" w:right="-20" w:firstLine="0"/>
      </w:pPr>
      <w:r>
        <w:rPr>
          <w:color w:val="221F1F"/>
        </w:rPr>
        <w:t>Nine months of Isoniazid is a regimen that has been historically used for the treatment of LTBI. Clinical studies of this regimen have indicated it can be ~95% effective in preventing progression to active TB with full compliance in immunocompetent subjects. However, due to poor compliance and low rates of completion, newer short- course regimens of INH/rifapentine and rifampin have much higher rates of completion and may be more appropriate for patients with no contraindications to these newer regimens.</w:t>
      </w:r>
    </w:p>
    <w:p w14:paraId="653B41B4" w14:textId="77777777" w:rsidR="00513FD9" w:rsidRDefault="00513FD9">
      <w:pPr>
        <w:pStyle w:val="BodyText"/>
        <w:ind w:firstLine="0"/>
        <w:rPr>
          <w:sz w:val="24"/>
        </w:rPr>
      </w:pPr>
    </w:p>
    <w:p w14:paraId="2D547327" w14:textId="610D49E8" w:rsidR="00513FD9" w:rsidRDefault="006E2B84">
      <w:pPr>
        <w:pStyle w:val="Heading1"/>
      </w:pPr>
      <w:r>
        <w:rPr>
          <w:noProof/>
        </w:rPr>
        <mc:AlternateContent>
          <mc:Choice Requires="wps">
            <w:drawing>
              <wp:anchor distT="0" distB="0" distL="114300" distR="114300" simplePos="0" relativeHeight="1072" behindDoc="0" locked="0" layoutInCell="1" allowOverlap="1" wp14:anchorId="19A0B9DC" wp14:editId="4C081BE2">
                <wp:simplePos x="0" y="0"/>
                <wp:positionH relativeFrom="page">
                  <wp:posOffset>666750</wp:posOffset>
                </wp:positionH>
                <wp:positionV relativeFrom="paragraph">
                  <wp:posOffset>157480</wp:posOffset>
                </wp:positionV>
                <wp:extent cx="3081020" cy="2256155"/>
                <wp:effectExtent l="0" t="0" r="5080" b="1079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2256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firstRow="1" w:lastRow="1" w:firstColumn="1" w:lastColumn="1" w:noHBand="0" w:noVBand="0"/>
                            </w:tblPr>
                            <w:tblGrid>
                              <w:gridCol w:w="1335"/>
                              <w:gridCol w:w="3452"/>
                            </w:tblGrid>
                            <w:tr w:rsidR="00513FD9" w14:paraId="65C383C3" w14:textId="77777777" w:rsidTr="000C41AB">
                              <w:trPr>
                                <w:trHeight w:hRule="exact" w:val="420"/>
                              </w:trPr>
                              <w:tc>
                                <w:tcPr>
                                  <w:tcW w:w="1335" w:type="dxa"/>
                                </w:tcPr>
                                <w:p w14:paraId="3C180F6C" w14:textId="77777777" w:rsidR="00513FD9" w:rsidRDefault="00F02F4E">
                                  <w:pPr>
                                    <w:pStyle w:val="TableParagraph"/>
                                    <w:spacing w:before="67"/>
                                    <w:ind w:left="223" w:right="0"/>
                                    <w:rPr>
                                      <w:b/>
                                      <w:u w:val="none"/>
                                    </w:rPr>
                                  </w:pPr>
                                  <w:r>
                                    <w:rPr>
                                      <w:b/>
                                      <w:color w:val="221F1F"/>
                                      <w:u w:val="none"/>
                                    </w:rPr>
                                    <w:t>Duration</w:t>
                                  </w:r>
                                </w:p>
                              </w:tc>
                              <w:tc>
                                <w:tcPr>
                                  <w:tcW w:w="3452" w:type="dxa"/>
                                </w:tcPr>
                                <w:p w14:paraId="0214746F" w14:textId="5FA31B55" w:rsidR="00513FD9" w:rsidRDefault="000C41AB" w:rsidP="000C41AB">
                                  <w:pPr>
                                    <w:pStyle w:val="TableParagraph"/>
                                    <w:spacing w:before="67"/>
                                    <w:ind w:right="1611"/>
                                    <w:jc w:val="center"/>
                                    <w:rPr>
                                      <w:b/>
                                      <w:u w:val="none"/>
                                    </w:rPr>
                                  </w:pPr>
                                  <w:r>
                                    <w:rPr>
                                      <w:b/>
                                      <w:u w:val="none"/>
                                    </w:rPr>
                                    <w:t>Age</w:t>
                                  </w:r>
                                </w:p>
                              </w:tc>
                            </w:tr>
                            <w:tr w:rsidR="00513FD9" w14:paraId="4435E7DE" w14:textId="77777777" w:rsidTr="000C41AB">
                              <w:trPr>
                                <w:trHeight w:hRule="exact" w:val="938"/>
                              </w:trPr>
                              <w:tc>
                                <w:tcPr>
                                  <w:tcW w:w="1335" w:type="dxa"/>
                                </w:tcPr>
                                <w:p w14:paraId="18A2CDF3" w14:textId="77777777" w:rsidR="00513FD9" w:rsidRDefault="00F02F4E">
                                  <w:pPr>
                                    <w:pStyle w:val="TableParagraph"/>
                                    <w:ind w:left="408" w:hanging="188"/>
                                    <w:rPr>
                                      <w:u w:val="none"/>
                                    </w:rPr>
                                  </w:pPr>
                                  <w:r>
                                    <w:rPr>
                                      <w:u w:val="none"/>
                                    </w:rPr>
                                    <w:t>9 months daily</w:t>
                                  </w:r>
                                </w:p>
                              </w:tc>
                              <w:tc>
                                <w:tcPr>
                                  <w:tcW w:w="3452" w:type="dxa"/>
                                </w:tcPr>
                                <w:p w14:paraId="38C3A24B" w14:textId="77777777" w:rsidR="00513FD9" w:rsidRDefault="00F02F4E">
                                  <w:pPr>
                                    <w:pStyle w:val="TableParagraph"/>
                                    <w:ind w:right="0" w:hanging="3"/>
                                    <w:rPr>
                                      <w:u w:val="none"/>
                                    </w:rPr>
                                  </w:pPr>
                                  <w:r>
                                    <w:rPr>
                                      <w:u w:color="221F1F"/>
                                    </w:rPr>
                                    <w:t xml:space="preserve">Children </w:t>
                                  </w:r>
                                  <w:r>
                                    <w:rPr>
                                      <w:u w:val="none"/>
                                    </w:rPr>
                                    <w:t>- 10-15 mg/kg per day up to 300 mg/day (270 doses)</w:t>
                                  </w:r>
                                </w:p>
                              </w:tc>
                            </w:tr>
                            <w:tr w:rsidR="00513FD9" w14:paraId="770B9816" w14:textId="77777777" w:rsidTr="000C41AB">
                              <w:trPr>
                                <w:trHeight w:hRule="exact" w:val="626"/>
                              </w:trPr>
                              <w:tc>
                                <w:tcPr>
                                  <w:tcW w:w="1335" w:type="dxa"/>
                                </w:tcPr>
                                <w:p w14:paraId="630D1A92" w14:textId="77777777" w:rsidR="00513FD9" w:rsidRDefault="00F02F4E">
                                  <w:pPr>
                                    <w:pStyle w:val="TableParagraph"/>
                                    <w:spacing w:before="2" w:line="252" w:lineRule="exact"/>
                                    <w:ind w:left="408" w:hanging="188"/>
                                    <w:rPr>
                                      <w:u w:val="none"/>
                                    </w:rPr>
                                  </w:pPr>
                                  <w:r>
                                    <w:rPr>
                                      <w:u w:val="none"/>
                                    </w:rPr>
                                    <w:t>9 months daily</w:t>
                                  </w:r>
                                </w:p>
                              </w:tc>
                              <w:tc>
                                <w:tcPr>
                                  <w:tcW w:w="3452" w:type="dxa"/>
                                </w:tcPr>
                                <w:p w14:paraId="08C13499" w14:textId="77777777" w:rsidR="00513FD9" w:rsidRDefault="00F02F4E">
                                  <w:pPr>
                                    <w:pStyle w:val="TableParagraph"/>
                                    <w:spacing w:before="2" w:line="252" w:lineRule="exact"/>
                                    <w:ind w:right="302"/>
                                    <w:rPr>
                                      <w:u w:val="none"/>
                                    </w:rPr>
                                  </w:pPr>
                                  <w:r>
                                    <w:rPr>
                                      <w:u w:color="221F1F"/>
                                    </w:rPr>
                                    <w:t xml:space="preserve">Adults </w:t>
                                  </w:r>
                                  <w:r>
                                    <w:rPr>
                                      <w:u w:val="none"/>
                                    </w:rPr>
                                    <w:t>- 5mg/kg daily (Not to exceed 300 mg/day) (270 doses)</w:t>
                                  </w:r>
                                </w:p>
                              </w:tc>
                            </w:tr>
                            <w:tr w:rsidR="00513FD9" w14:paraId="4E6F2065" w14:textId="77777777" w:rsidTr="000C41AB">
                              <w:trPr>
                                <w:trHeight w:hRule="exact" w:val="540"/>
                              </w:trPr>
                              <w:tc>
                                <w:tcPr>
                                  <w:tcW w:w="1335" w:type="dxa"/>
                                </w:tcPr>
                                <w:p w14:paraId="12D68146" w14:textId="77777777" w:rsidR="00513FD9" w:rsidRDefault="00F02F4E">
                                  <w:pPr>
                                    <w:pStyle w:val="TableParagraph"/>
                                    <w:ind w:left="408" w:hanging="188"/>
                                    <w:rPr>
                                      <w:u w:val="none"/>
                                    </w:rPr>
                                  </w:pPr>
                                  <w:r>
                                    <w:rPr>
                                      <w:u w:val="none"/>
                                    </w:rPr>
                                    <w:t>6 months daily</w:t>
                                  </w:r>
                                </w:p>
                              </w:tc>
                              <w:tc>
                                <w:tcPr>
                                  <w:tcW w:w="3452" w:type="dxa"/>
                                </w:tcPr>
                                <w:p w14:paraId="4A2A28E1" w14:textId="77777777" w:rsidR="00513FD9" w:rsidRDefault="00F02F4E">
                                  <w:pPr>
                                    <w:pStyle w:val="TableParagraph"/>
                                    <w:ind w:right="0"/>
                                    <w:rPr>
                                      <w:u w:val="none"/>
                                    </w:rPr>
                                  </w:pPr>
                                  <w:r>
                                    <w:rPr>
                                      <w:u w:color="221F1F"/>
                                    </w:rPr>
                                    <w:t xml:space="preserve">Children </w:t>
                                  </w:r>
                                  <w:r>
                                    <w:rPr>
                                      <w:u w:val="none"/>
                                    </w:rPr>
                                    <w:t>–Not recommended</w:t>
                                  </w:r>
                                </w:p>
                              </w:tc>
                            </w:tr>
                            <w:tr w:rsidR="00513FD9" w14:paraId="5B70DDF1" w14:textId="77777777" w:rsidTr="000C41AB">
                              <w:trPr>
                                <w:trHeight w:hRule="exact" w:val="840"/>
                              </w:trPr>
                              <w:tc>
                                <w:tcPr>
                                  <w:tcW w:w="1335" w:type="dxa"/>
                                </w:tcPr>
                                <w:p w14:paraId="183AA8AC" w14:textId="77777777" w:rsidR="00513FD9" w:rsidRDefault="00F02F4E">
                                  <w:pPr>
                                    <w:pStyle w:val="TableParagraph"/>
                                    <w:spacing w:before="2" w:line="252" w:lineRule="exact"/>
                                    <w:ind w:left="408" w:hanging="188"/>
                                    <w:rPr>
                                      <w:u w:val="none"/>
                                    </w:rPr>
                                  </w:pPr>
                                  <w:r>
                                    <w:rPr>
                                      <w:u w:val="none"/>
                                    </w:rPr>
                                    <w:t>6 months daily</w:t>
                                  </w:r>
                                </w:p>
                              </w:tc>
                              <w:tc>
                                <w:tcPr>
                                  <w:tcW w:w="3452" w:type="dxa"/>
                                </w:tcPr>
                                <w:p w14:paraId="1D658A21" w14:textId="77777777" w:rsidR="00513FD9" w:rsidRDefault="00F02F4E">
                                  <w:pPr>
                                    <w:pStyle w:val="TableParagraph"/>
                                    <w:spacing w:before="2" w:line="252" w:lineRule="exact"/>
                                    <w:ind w:right="252"/>
                                    <w:rPr>
                                      <w:u w:val="none"/>
                                    </w:rPr>
                                  </w:pPr>
                                  <w:r>
                                    <w:rPr>
                                      <w:u w:color="221F1F"/>
                                    </w:rPr>
                                    <w:t>Immunocompetent Adults</w:t>
                                  </w:r>
                                  <w:r>
                                    <w:rPr>
                                      <w:u w:val="none"/>
                                    </w:rPr>
                                    <w:t>- 5 mg/kg not to exceed 300 mg/day</w:t>
                                  </w:r>
                                </w:p>
                              </w:tc>
                            </w:tr>
                          </w:tbl>
                          <w:p w14:paraId="78F86A1A" w14:textId="77777777" w:rsidR="00513FD9" w:rsidRDefault="00513FD9">
                            <w:pPr>
                              <w:pStyle w:val="Body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0B9DC" id="_x0000_t202" coordsize="21600,21600" o:spt="202" path="m,l,21600r21600,l21600,xe">
                <v:stroke joinstyle="miter"/>
                <v:path gradientshapeok="t" o:connecttype="rect"/>
              </v:shapetype>
              <v:shape id="Text Box 43" o:spid="_x0000_s1026" type="#_x0000_t202" style="position:absolute;left:0;text-align:left;margin-left:52.5pt;margin-top:12.4pt;width:242.6pt;height:177.6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" filled="f" stroked="f">
                <v:textbox inset="0,0,0,0">
                  <w:txbxContent>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1E0" w:firstRow="1" w:lastRow="1" w:firstColumn="1" w:lastColumn="1" w:noHBand="0" w:noVBand="0"/>
                      </w:tblPr>
                      <w:tblGrid>
                        <w:gridCol w:w="1335"/>
                        <w:gridCol w:w="3452"/>
                      </w:tblGrid>
                      <w:tr w:rsidR="00513FD9" w14:paraId="65C383C3" w14:textId="77777777" w:rsidTr="000C41AB">
                        <w:trPr>
                          <w:trHeight w:hRule="exact" w:val="420"/>
                        </w:trPr>
                        <w:tc>
                          <w:tcPr>
                            <w:tcW w:w="1335" w:type="dxa"/>
                          </w:tcPr>
                          <w:p w14:paraId="3C180F6C" w14:textId="77777777" w:rsidR="00513FD9" w:rsidRDefault="00F02F4E">
                            <w:pPr>
                              <w:pStyle w:val="TableParagraph"/>
                              <w:spacing w:before="67"/>
                              <w:ind w:left="223" w:right="0"/>
                              <w:rPr>
                                <w:b/>
                                <w:u w:val="none"/>
                              </w:rPr>
                            </w:pPr>
                            <w:r>
                              <w:rPr>
                                <w:b/>
                                <w:color w:val="221F1F"/>
                                <w:u w:val="none"/>
                              </w:rPr>
                              <w:t>Duration</w:t>
                            </w:r>
                          </w:p>
                        </w:tc>
                        <w:tc>
                          <w:tcPr>
                            <w:tcW w:w="3452" w:type="dxa"/>
                          </w:tcPr>
                          <w:p w14:paraId="0214746F" w14:textId="5FA31B55" w:rsidR="00513FD9" w:rsidRDefault="000C41AB" w:rsidP="000C41AB">
                            <w:pPr>
                              <w:pStyle w:val="TableParagraph"/>
                              <w:spacing w:before="67"/>
                              <w:ind w:right="1611"/>
                              <w:jc w:val="center"/>
                              <w:rPr>
                                <w:b/>
                                <w:u w:val="none"/>
                              </w:rPr>
                            </w:pPr>
                            <w:r>
                              <w:rPr>
                                <w:b/>
                                <w:u w:val="none"/>
                              </w:rPr>
                              <w:t>Age</w:t>
                            </w:r>
                          </w:p>
                        </w:tc>
                      </w:tr>
                      <w:tr w:rsidR="00513FD9" w14:paraId="4435E7DE" w14:textId="77777777" w:rsidTr="000C41AB">
                        <w:trPr>
                          <w:trHeight w:hRule="exact" w:val="938"/>
                        </w:trPr>
                        <w:tc>
                          <w:tcPr>
                            <w:tcW w:w="1335" w:type="dxa"/>
                          </w:tcPr>
                          <w:p w14:paraId="18A2CDF3" w14:textId="77777777" w:rsidR="00513FD9" w:rsidRDefault="00F02F4E">
                            <w:pPr>
                              <w:pStyle w:val="TableParagraph"/>
                              <w:ind w:left="408" w:hanging="188"/>
                              <w:rPr>
                                <w:u w:val="none"/>
                              </w:rPr>
                            </w:pPr>
                            <w:r>
                              <w:rPr>
                                <w:u w:val="none"/>
                              </w:rPr>
                              <w:t>9 months daily</w:t>
                            </w:r>
                          </w:p>
                        </w:tc>
                        <w:tc>
                          <w:tcPr>
                            <w:tcW w:w="3452" w:type="dxa"/>
                          </w:tcPr>
                          <w:p w14:paraId="38C3A24B" w14:textId="77777777" w:rsidR="00513FD9" w:rsidRDefault="00F02F4E">
                            <w:pPr>
                              <w:pStyle w:val="TableParagraph"/>
                              <w:ind w:right="0" w:hanging="3"/>
                              <w:rPr>
                                <w:u w:val="none"/>
                              </w:rPr>
                            </w:pPr>
                            <w:r>
                              <w:rPr>
                                <w:u w:color="221F1F"/>
                              </w:rPr>
                              <w:t xml:space="preserve">Children </w:t>
                            </w:r>
                            <w:r>
                              <w:rPr>
                                <w:u w:val="none"/>
                              </w:rPr>
                              <w:t>- 10-15 mg/kg per day up to 300 mg/day (270 doses)</w:t>
                            </w:r>
                          </w:p>
                        </w:tc>
                      </w:tr>
                      <w:tr w:rsidR="00513FD9" w14:paraId="770B9816" w14:textId="77777777" w:rsidTr="000C41AB">
                        <w:trPr>
                          <w:trHeight w:hRule="exact" w:val="626"/>
                        </w:trPr>
                        <w:tc>
                          <w:tcPr>
                            <w:tcW w:w="1335" w:type="dxa"/>
                          </w:tcPr>
                          <w:p w14:paraId="630D1A92" w14:textId="77777777" w:rsidR="00513FD9" w:rsidRDefault="00F02F4E">
                            <w:pPr>
                              <w:pStyle w:val="TableParagraph"/>
                              <w:spacing w:before="2" w:line="252" w:lineRule="exact"/>
                              <w:ind w:left="408" w:hanging="188"/>
                              <w:rPr>
                                <w:u w:val="none"/>
                              </w:rPr>
                            </w:pPr>
                            <w:r>
                              <w:rPr>
                                <w:u w:val="none"/>
                              </w:rPr>
                              <w:t>9 months daily</w:t>
                            </w:r>
                          </w:p>
                        </w:tc>
                        <w:tc>
                          <w:tcPr>
                            <w:tcW w:w="3452" w:type="dxa"/>
                          </w:tcPr>
                          <w:p w14:paraId="08C13499" w14:textId="77777777" w:rsidR="00513FD9" w:rsidRDefault="00F02F4E">
                            <w:pPr>
                              <w:pStyle w:val="TableParagraph"/>
                              <w:spacing w:before="2" w:line="252" w:lineRule="exact"/>
                              <w:ind w:right="302"/>
                              <w:rPr>
                                <w:u w:val="none"/>
                              </w:rPr>
                            </w:pPr>
                            <w:r>
                              <w:rPr>
                                <w:u w:color="221F1F"/>
                              </w:rPr>
                              <w:t xml:space="preserve">Adults </w:t>
                            </w:r>
                            <w:r>
                              <w:rPr>
                                <w:u w:val="none"/>
                              </w:rPr>
                              <w:t>- 5mg/kg daily (Not to exceed 300 mg/day) (270 doses)</w:t>
                            </w:r>
                          </w:p>
                        </w:tc>
                      </w:tr>
                      <w:tr w:rsidR="00513FD9" w14:paraId="4E6F2065" w14:textId="77777777" w:rsidTr="000C41AB">
                        <w:trPr>
                          <w:trHeight w:hRule="exact" w:val="540"/>
                        </w:trPr>
                        <w:tc>
                          <w:tcPr>
                            <w:tcW w:w="1335" w:type="dxa"/>
                          </w:tcPr>
                          <w:p w14:paraId="12D68146" w14:textId="77777777" w:rsidR="00513FD9" w:rsidRDefault="00F02F4E">
                            <w:pPr>
                              <w:pStyle w:val="TableParagraph"/>
                              <w:ind w:left="408" w:hanging="188"/>
                              <w:rPr>
                                <w:u w:val="none"/>
                              </w:rPr>
                            </w:pPr>
                            <w:r>
                              <w:rPr>
                                <w:u w:val="none"/>
                              </w:rPr>
                              <w:t>6 months daily</w:t>
                            </w:r>
                          </w:p>
                        </w:tc>
                        <w:tc>
                          <w:tcPr>
                            <w:tcW w:w="3452" w:type="dxa"/>
                          </w:tcPr>
                          <w:p w14:paraId="4A2A28E1" w14:textId="77777777" w:rsidR="00513FD9" w:rsidRDefault="00F02F4E">
                            <w:pPr>
                              <w:pStyle w:val="TableParagraph"/>
                              <w:ind w:right="0"/>
                              <w:rPr>
                                <w:u w:val="none"/>
                              </w:rPr>
                            </w:pPr>
                            <w:r>
                              <w:rPr>
                                <w:u w:color="221F1F"/>
                              </w:rPr>
                              <w:t xml:space="preserve">Children </w:t>
                            </w:r>
                            <w:r>
                              <w:rPr>
                                <w:u w:val="none"/>
                              </w:rPr>
                              <w:t>–Not recommended</w:t>
                            </w:r>
                          </w:p>
                        </w:tc>
                      </w:tr>
                      <w:tr w:rsidR="00513FD9" w14:paraId="5B70DDF1" w14:textId="77777777" w:rsidTr="000C41AB">
                        <w:trPr>
                          <w:trHeight w:hRule="exact" w:val="840"/>
                        </w:trPr>
                        <w:tc>
                          <w:tcPr>
                            <w:tcW w:w="1335" w:type="dxa"/>
                          </w:tcPr>
                          <w:p w14:paraId="183AA8AC" w14:textId="77777777" w:rsidR="00513FD9" w:rsidRDefault="00F02F4E">
                            <w:pPr>
                              <w:pStyle w:val="TableParagraph"/>
                              <w:spacing w:before="2" w:line="252" w:lineRule="exact"/>
                              <w:ind w:left="408" w:hanging="188"/>
                              <w:rPr>
                                <w:u w:val="none"/>
                              </w:rPr>
                            </w:pPr>
                            <w:r>
                              <w:rPr>
                                <w:u w:val="none"/>
                              </w:rPr>
                              <w:t>6 months daily</w:t>
                            </w:r>
                          </w:p>
                        </w:tc>
                        <w:tc>
                          <w:tcPr>
                            <w:tcW w:w="3452" w:type="dxa"/>
                          </w:tcPr>
                          <w:p w14:paraId="1D658A21" w14:textId="77777777" w:rsidR="00513FD9" w:rsidRDefault="00F02F4E">
                            <w:pPr>
                              <w:pStyle w:val="TableParagraph"/>
                              <w:spacing w:before="2" w:line="252" w:lineRule="exact"/>
                              <w:ind w:right="252"/>
                              <w:rPr>
                                <w:u w:val="none"/>
                              </w:rPr>
                            </w:pPr>
                            <w:r>
                              <w:rPr>
                                <w:u w:color="221F1F"/>
                              </w:rPr>
                              <w:t>Immunocompetent Adults</w:t>
                            </w:r>
                            <w:r>
                              <w:rPr>
                                <w:u w:val="none"/>
                              </w:rPr>
                              <w:t>- 5 mg/kg not to exceed 300 mg/day</w:t>
                            </w:r>
                          </w:p>
                        </w:tc>
                      </w:tr>
                    </w:tbl>
                    <w:p w14:paraId="78F86A1A" w14:textId="77777777" w:rsidR="00513FD9" w:rsidRDefault="00513FD9">
                      <w:pPr>
                        <w:pStyle w:val="BodyText"/>
                        <w:ind w:firstLine="0"/>
                      </w:pPr>
                    </w:p>
                  </w:txbxContent>
                </v:textbox>
                <w10:wrap anchorx="page"/>
              </v:shape>
            </w:pict>
          </mc:Fallback>
        </mc:AlternateContent>
      </w:r>
      <w:r w:rsidR="00F02F4E">
        <w:rPr>
          <w:color w:val="355F91"/>
        </w:rPr>
        <w:t>What is the dose and regimen of INH for LTBI?</w:t>
      </w:r>
    </w:p>
    <w:p w14:paraId="1BD27410" w14:textId="77777777" w:rsidR="00513FD9" w:rsidRDefault="00F02F4E">
      <w:pPr>
        <w:spacing w:before="24" w:line="252" w:lineRule="exact"/>
        <w:ind w:left="140"/>
        <w:rPr>
          <w:b/>
        </w:rPr>
      </w:pPr>
      <w:r>
        <w:br w:type="column"/>
      </w:r>
      <w:r>
        <w:rPr>
          <w:b/>
          <w:color w:val="355F91"/>
        </w:rPr>
        <w:t>What are the adverse effects of INH?</w:t>
      </w:r>
    </w:p>
    <w:p w14:paraId="73BB5BEE" w14:textId="77777777" w:rsidR="00513FD9" w:rsidRDefault="00F02F4E">
      <w:pPr>
        <w:pStyle w:val="ListParagraph"/>
        <w:numPr>
          <w:ilvl w:val="0"/>
          <w:numId w:val="1"/>
        </w:numPr>
        <w:tabs>
          <w:tab w:val="left" w:pos="500"/>
          <w:tab w:val="left" w:pos="501"/>
        </w:tabs>
        <w:ind w:right="714" w:hanging="360"/>
      </w:pPr>
      <w:r>
        <w:rPr>
          <w:color w:val="221F1F"/>
        </w:rPr>
        <w:t>Ten to 20% of patients taking INH experience asymptomatic LFT elevation that resolves with discontinuation of the</w:t>
      </w:r>
      <w:r>
        <w:rPr>
          <w:color w:val="221F1F"/>
          <w:spacing w:val="-4"/>
        </w:rPr>
        <w:t xml:space="preserve"> </w:t>
      </w:r>
      <w:r>
        <w:rPr>
          <w:color w:val="221F1F"/>
        </w:rPr>
        <w:t>drug.</w:t>
      </w:r>
    </w:p>
    <w:p w14:paraId="75C2BCA8" w14:textId="77777777" w:rsidR="00513FD9" w:rsidRDefault="00F02F4E">
      <w:pPr>
        <w:pStyle w:val="ListParagraph"/>
        <w:numPr>
          <w:ilvl w:val="1"/>
          <w:numId w:val="1"/>
        </w:numPr>
        <w:tabs>
          <w:tab w:val="left" w:pos="860"/>
          <w:tab w:val="left" w:pos="861"/>
        </w:tabs>
        <w:spacing w:before="1" w:line="237" w:lineRule="auto"/>
        <w:ind w:right="103"/>
      </w:pPr>
      <w:r>
        <w:rPr>
          <w:color w:val="221F1F"/>
        </w:rPr>
        <w:t>INH should be discontinued when LFTs are 3 times the upper limits of normal (ULN) if the patient has symptoms of drug induced hepatitis (e.g., anorexia, fatigue, abdominal pain, jaundice) and should be discontinued if LFTs are 5 times ULN without</w:t>
      </w:r>
      <w:r>
        <w:rPr>
          <w:color w:val="221F1F"/>
          <w:spacing w:val="-11"/>
        </w:rPr>
        <w:t xml:space="preserve"> </w:t>
      </w:r>
      <w:r>
        <w:rPr>
          <w:color w:val="221F1F"/>
        </w:rPr>
        <w:t>symptoms.</w:t>
      </w:r>
    </w:p>
    <w:p w14:paraId="4ACC7B55" w14:textId="77777777" w:rsidR="00513FD9" w:rsidRDefault="00F02F4E">
      <w:pPr>
        <w:pStyle w:val="ListParagraph"/>
        <w:numPr>
          <w:ilvl w:val="1"/>
          <w:numId w:val="1"/>
        </w:numPr>
        <w:tabs>
          <w:tab w:val="left" w:pos="860"/>
          <w:tab w:val="left" w:pos="861"/>
        </w:tabs>
        <w:spacing w:before="4" w:line="235" w:lineRule="auto"/>
        <w:ind w:right="167"/>
      </w:pPr>
      <w:r>
        <w:rPr>
          <w:color w:val="221F1F"/>
        </w:rPr>
        <w:t>Significant hepatoxicity occurs very rarely in those &lt;20 years of age, but occur with increased incidence with advancing age, liver disease, during the post-partum period, in persons with pre-existing liver disease, regular alcohol use, or taking other hepatotoxic</w:t>
      </w:r>
      <w:r>
        <w:rPr>
          <w:color w:val="221F1F"/>
          <w:spacing w:val="-10"/>
        </w:rPr>
        <w:t xml:space="preserve"> </w:t>
      </w:r>
      <w:r>
        <w:rPr>
          <w:color w:val="221F1F"/>
        </w:rPr>
        <w:t>medications.</w:t>
      </w:r>
    </w:p>
    <w:p w14:paraId="21A440ED" w14:textId="3791EFB9" w:rsidR="00513FD9" w:rsidRDefault="00F02F4E">
      <w:pPr>
        <w:pStyle w:val="ListParagraph"/>
        <w:numPr>
          <w:ilvl w:val="1"/>
          <w:numId w:val="1"/>
        </w:numPr>
        <w:tabs>
          <w:tab w:val="left" w:pos="860"/>
          <w:tab w:val="left" w:pos="861"/>
        </w:tabs>
        <w:spacing w:before="5" w:line="252" w:lineRule="exact"/>
        <w:ind w:right="425"/>
      </w:pPr>
      <w:r>
        <w:rPr>
          <w:color w:val="221F1F"/>
        </w:rPr>
        <w:t>Cases of fatal hepatitis have been associated with continued administration of INH after</w:t>
      </w:r>
      <w:r>
        <w:rPr>
          <w:color w:val="221F1F"/>
          <w:spacing w:val="-17"/>
        </w:rPr>
        <w:t xml:space="preserve"> </w:t>
      </w:r>
      <w:r>
        <w:rPr>
          <w:color w:val="221F1F"/>
        </w:rPr>
        <w:t>the</w:t>
      </w:r>
    </w:p>
    <w:p w14:paraId="355B7DCB" w14:textId="77777777" w:rsidR="00513FD9" w:rsidRDefault="00513FD9">
      <w:pPr>
        <w:spacing w:line="252" w:lineRule="exact"/>
        <w:sectPr w:rsidR="00513FD9" w:rsidSect="006E2B84">
          <w:type w:val="continuous"/>
          <w:pgSz w:w="12240" w:h="15840"/>
          <w:pgMar w:top="1360" w:right="980" w:bottom="1040" w:left="94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4784" w:space="617"/>
            <w:col w:w="4919"/>
          </w:cols>
        </w:sectPr>
      </w:pPr>
    </w:p>
    <w:p w14:paraId="11F5A958" w14:textId="77777777" w:rsidR="00513FD9" w:rsidRDefault="00F02F4E">
      <w:pPr>
        <w:pStyle w:val="BodyText"/>
        <w:spacing w:line="247" w:lineRule="exact"/>
        <w:ind w:left="6261" w:firstLine="0"/>
      </w:pPr>
      <w:r>
        <w:rPr>
          <w:color w:val="221F1F"/>
        </w:rPr>
        <w:t>onset of clinical hepatitis symptoms.</w:t>
      </w:r>
    </w:p>
    <w:p w14:paraId="186E4B38" w14:textId="77777777" w:rsidR="00513FD9" w:rsidRDefault="00F02F4E">
      <w:pPr>
        <w:pStyle w:val="ListParagraph"/>
        <w:numPr>
          <w:ilvl w:val="2"/>
          <w:numId w:val="1"/>
        </w:numPr>
        <w:tabs>
          <w:tab w:val="left" w:pos="5901"/>
          <w:tab w:val="left" w:pos="5902"/>
        </w:tabs>
        <w:ind w:right="846" w:hanging="360"/>
      </w:pPr>
      <w:r>
        <w:rPr>
          <w:color w:val="221F1F"/>
        </w:rPr>
        <w:t>Dizziness, headaches, fatigue, seizures, and peripheral neuropathy occur</w:t>
      </w:r>
      <w:r>
        <w:rPr>
          <w:color w:val="221F1F"/>
          <w:spacing w:val="-5"/>
        </w:rPr>
        <w:t xml:space="preserve"> </w:t>
      </w:r>
      <w:r>
        <w:rPr>
          <w:color w:val="221F1F"/>
        </w:rPr>
        <w:t>rarely</w:t>
      </w:r>
    </w:p>
    <w:p w14:paraId="5A486A4D" w14:textId="77777777" w:rsidR="00513FD9" w:rsidRDefault="00F02F4E">
      <w:pPr>
        <w:pStyle w:val="ListParagraph"/>
        <w:numPr>
          <w:ilvl w:val="2"/>
          <w:numId w:val="1"/>
        </w:numPr>
        <w:tabs>
          <w:tab w:val="left" w:pos="5901"/>
          <w:tab w:val="left" w:pos="5902"/>
        </w:tabs>
        <w:ind w:right="123" w:hanging="360"/>
      </w:pPr>
      <w:r>
        <w:rPr>
          <w:color w:val="221F1F"/>
        </w:rPr>
        <w:t>Vitamin B6 (Pyridoxine) supplementation can decrease odds of peripheral neuropathy in persons who are pregnant or breast feeding, or who have HIV, renal failure, alcoholism, diabetes, or underlying peripheral neuropathy. B6 should be given</w:t>
      </w:r>
      <w:r>
        <w:rPr>
          <w:color w:val="221F1F"/>
          <w:spacing w:val="-7"/>
        </w:rPr>
        <w:t xml:space="preserve"> </w:t>
      </w:r>
      <w:r>
        <w:rPr>
          <w:color w:val="221F1F"/>
        </w:rPr>
        <w:t>to</w:t>
      </w:r>
    </w:p>
    <w:p w14:paraId="2722E657" w14:textId="77777777" w:rsidR="00513FD9" w:rsidRDefault="00F02F4E">
      <w:pPr>
        <w:pStyle w:val="BodyText"/>
        <w:spacing w:line="251" w:lineRule="exact"/>
        <w:ind w:left="5901" w:firstLine="0"/>
      </w:pPr>
      <w:r>
        <w:rPr>
          <w:color w:val="221F1F"/>
        </w:rPr>
        <w:t>exclusively breastfed infants on INH.</w:t>
      </w:r>
    </w:p>
    <w:p w14:paraId="00EB4D55" w14:textId="77777777" w:rsidR="00513FD9" w:rsidRDefault="00F02F4E">
      <w:pPr>
        <w:pStyle w:val="ListParagraph"/>
        <w:numPr>
          <w:ilvl w:val="2"/>
          <w:numId w:val="1"/>
        </w:numPr>
        <w:tabs>
          <w:tab w:val="left" w:pos="5901"/>
          <w:tab w:val="left" w:pos="5902"/>
        </w:tabs>
        <w:spacing w:line="269" w:lineRule="exact"/>
        <w:ind w:hanging="360"/>
      </w:pPr>
      <w:r>
        <w:rPr>
          <w:color w:val="221F1F"/>
        </w:rPr>
        <w:t>Neutropenia (very</w:t>
      </w:r>
      <w:r>
        <w:rPr>
          <w:color w:val="221F1F"/>
          <w:spacing w:val="-2"/>
        </w:rPr>
        <w:t xml:space="preserve"> </w:t>
      </w:r>
      <w:r>
        <w:rPr>
          <w:color w:val="221F1F"/>
        </w:rPr>
        <w:t>rare)</w:t>
      </w:r>
    </w:p>
    <w:p w14:paraId="5E02726B" w14:textId="77777777" w:rsidR="00513FD9" w:rsidRDefault="00513FD9">
      <w:pPr>
        <w:pStyle w:val="BodyText"/>
        <w:spacing w:before="2"/>
        <w:ind w:firstLine="0"/>
        <w:rPr>
          <w:sz w:val="13"/>
        </w:rPr>
      </w:pPr>
    </w:p>
    <w:p w14:paraId="1EEC6A16" w14:textId="77777777" w:rsidR="00513FD9" w:rsidRDefault="00513FD9">
      <w:pPr>
        <w:rPr>
          <w:sz w:val="13"/>
        </w:rPr>
        <w:sectPr w:rsidR="00513FD9" w:rsidSect="006E2B84">
          <w:type w:val="continuous"/>
          <w:pgSz w:w="12240" w:h="15840"/>
          <w:pgMar w:top="1360" w:right="980" w:bottom="1040" w:left="940" w:header="720" w:footer="720" w:gutter="0"/>
          <w:pgBorders w:offsetFrom="page">
            <w:top w:val="double" w:sz="4" w:space="24" w:color="auto"/>
            <w:left w:val="double" w:sz="4" w:space="24" w:color="auto"/>
            <w:bottom w:val="double" w:sz="4" w:space="24" w:color="auto"/>
            <w:right w:val="double" w:sz="4" w:space="24" w:color="auto"/>
          </w:pgBorders>
          <w:cols w:space="720"/>
        </w:sectPr>
      </w:pPr>
    </w:p>
    <w:p w14:paraId="6EAE8C8E" w14:textId="23C9609D" w:rsidR="00513FD9" w:rsidRDefault="00F02F4E">
      <w:pPr>
        <w:pStyle w:val="Heading1"/>
        <w:spacing w:before="153" w:line="252" w:lineRule="exact"/>
      </w:pPr>
      <w:r>
        <w:rPr>
          <w:color w:val="355F92"/>
        </w:rPr>
        <w:t>Are there situations when INH should not be used?</w:t>
      </w:r>
    </w:p>
    <w:p w14:paraId="39531720" w14:textId="77777777" w:rsidR="00513FD9" w:rsidRDefault="00F02F4E">
      <w:pPr>
        <w:pStyle w:val="ListParagraph"/>
        <w:numPr>
          <w:ilvl w:val="0"/>
          <w:numId w:val="1"/>
        </w:numPr>
        <w:tabs>
          <w:tab w:val="left" w:pos="500"/>
          <w:tab w:val="left" w:pos="501"/>
        </w:tabs>
        <w:spacing w:line="267" w:lineRule="exact"/>
        <w:ind w:hanging="360"/>
      </w:pPr>
      <w:r>
        <w:t>Patients with known allergies to</w:t>
      </w:r>
      <w:r>
        <w:rPr>
          <w:spacing w:val="-9"/>
        </w:rPr>
        <w:t xml:space="preserve"> </w:t>
      </w:r>
      <w:r>
        <w:t>INH</w:t>
      </w:r>
    </w:p>
    <w:p w14:paraId="43AB0410" w14:textId="77777777" w:rsidR="00513FD9" w:rsidRDefault="00F02F4E">
      <w:pPr>
        <w:pStyle w:val="ListParagraph"/>
        <w:numPr>
          <w:ilvl w:val="0"/>
          <w:numId w:val="1"/>
        </w:numPr>
        <w:tabs>
          <w:tab w:val="left" w:pos="500"/>
          <w:tab w:val="left" w:pos="501"/>
        </w:tabs>
        <w:spacing w:line="268" w:lineRule="exact"/>
        <w:ind w:hanging="360"/>
      </w:pPr>
      <w:r>
        <w:t>Contacts to persons with INH-resistant</w:t>
      </w:r>
      <w:r>
        <w:rPr>
          <w:spacing w:val="-9"/>
        </w:rPr>
        <w:t xml:space="preserve"> </w:t>
      </w:r>
      <w:r>
        <w:t>TB</w:t>
      </w:r>
    </w:p>
    <w:p w14:paraId="12C7A0B3" w14:textId="081F11CE" w:rsidR="00513FD9" w:rsidRDefault="006E2B84">
      <w:pPr>
        <w:pStyle w:val="ListParagraph"/>
        <w:numPr>
          <w:ilvl w:val="0"/>
          <w:numId w:val="1"/>
        </w:numPr>
        <w:tabs>
          <w:tab w:val="left" w:pos="500"/>
          <w:tab w:val="left" w:pos="501"/>
        </w:tabs>
        <w:ind w:right="141" w:hanging="360"/>
      </w:pPr>
      <w:r>
        <w:rPr>
          <w:noProof/>
        </w:rPr>
        <mc:AlternateContent>
          <mc:Choice Requires="wps">
            <w:drawing>
              <wp:anchor distT="0" distB="0" distL="114300" distR="114300" simplePos="0" relativeHeight="503310704" behindDoc="1" locked="0" layoutInCell="1" allowOverlap="1" wp14:anchorId="13E0B7F1" wp14:editId="030B9622">
                <wp:simplePos x="0" y="0"/>
                <wp:positionH relativeFrom="page">
                  <wp:posOffset>2591435</wp:posOffset>
                </wp:positionH>
                <wp:positionV relativeFrom="paragraph">
                  <wp:posOffset>381635</wp:posOffset>
                </wp:positionV>
                <wp:extent cx="21590" cy="0"/>
                <wp:effectExtent l="10160" t="13970" r="6350" b="5080"/>
                <wp:wrapNone/>
                <wp:docPr id="3" name="Lin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0"/>
                        </a:xfrm>
                        <a:prstGeom prst="line">
                          <a:avLst/>
                        </a:prstGeom>
                        <a:noFill/>
                        <a:ln w="8890">
                          <a:solidFill>
                            <a:srgbClr val="00010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1C78A" id="Line 26" o:spid="_x0000_s1026" style="position:absolute;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05pt,30.05pt" to="205.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" strokecolor="#000101" strokeweight=".7pt">
                <w10:wrap anchorx="page"/>
              </v:line>
            </w:pict>
          </mc:Fallback>
        </mc:AlternateContent>
      </w:r>
      <w:r w:rsidR="00F02F4E">
        <w:t>Other regimens are preferred for patients with liver disease or who are being administered other hepatotoxic</w:t>
      </w:r>
      <w:r w:rsidR="00F02F4E">
        <w:rPr>
          <w:spacing w:val="-3"/>
        </w:rPr>
        <w:t xml:space="preserve"> </w:t>
      </w:r>
      <w:r w:rsidR="00F02F4E">
        <w:t>drugs.</w:t>
      </w:r>
    </w:p>
    <w:p w14:paraId="55453FA8" w14:textId="58CF5ED7" w:rsidR="00513FD9" w:rsidRDefault="00F02F4E" w:rsidP="007B16F1">
      <w:pPr>
        <w:pStyle w:val="ListParagraph"/>
        <w:numPr>
          <w:ilvl w:val="0"/>
          <w:numId w:val="1"/>
        </w:numPr>
        <w:tabs>
          <w:tab w:val="left" w:pos="500"/>
          <w:tab w:val="left" w:pos="501"/>
        </w:tabs>
        <w:spacing w:before="1"/>
        <w:ind w:hanging="360"/>
      </w:pPr>
      <w:r>
        <w:t xml:space="preserve">There may be an increased risk of INH induced hepatotoxicity in pregnant and postpartum women. Consider postponing treatment with INH until 3 months postpartum unless the patient is at high risk for progression to active TB disease (e.g., recent TB </w:t>
      </w:r>
      <w:r w:rsidR="00D0609A">
        <w:tab/>
      </w:r>
      <w:r>
        <w:t>infection, HIV</w:t>
      </w:r>
      <w:r>
        <w:rPr>
          <w:spacing w:val="-7"/>
        </w:rPr>
        <w:t xml:space="preserve"> </w:t>
      </w:r>
      <w:r>
        <w:t>positive).</w:t>
      </w:r>
      <w:r w:rsidR="007B16F1">
        <w:rPr>
          <w:b/>
        </w:rPr>
        <w:t xml:space="preserve"> </w:t>
      </w:r>
      <w:r>
        <w:br w:type="column"/>
      </w:r>
      <w:r>
        <w:rPr>
          <w:color w:val="355F91"/>
        </w:rPr>
        <w:t>Are there drug-drug interactions with INH?</w:t>
      </w:r>
    </w:p>
    <w:p w14:paraId="5CA7F28F" w14:textId="77777777" w:rsidR="00513FD9" w:rsidRDefault="00F02F4E">
      <w:pPr>
        <w:pStyle w:val="ListParagraph"/>
        <w:numPr>
          <w:ilvl w:val="0"/>
          <w:numId w:val="1"/>
        </w:numPr>
        <w:tabs>
          <w:tab w:val="left" w:pos="500"/>
          <w:tab w:val="left" w:pos="501"/>
        </w:tabs>
        <w:ind w:right="735" w:hanging="360"/>
      </w:pPr>
      <w:r>
        <w:rPr>
          <w:color w:val="221F1F"/>
        </w:rPr>
        <w:t>INH can increase the blood level of phenytoin, carbamazepine and some</w:t>
      </w:r>
      <w:r>
        <w:rPr>
          <w:color w:val="221F1F"/>
          <w:spacing w:val="-11"/>
        </w:rPr>
        <w:t xml:space="preserve"> </w:t>
      </w:r>
      <w:r>
        <w:rPr>
          <w:color w:val="221F1F"/>
        </w:rPr>
        <w:t>benzodiazepines.</w:t>
      </w:r>
    </w:p>
    <w:p w14:paraId="321152AF" w14:textId="77777777" w:rsidR="00513FD9" w:rsidRDefault="00F02F4E">
      <w:pPr>
        <w:pStyle w:val="ListParagraph"/>
        <w:numPr>
          <w:ilvl w:val="0"/>
          <w:numId w:val="1"/>
        </w:numPr>
        <w:tabs>
          <w:tab w:val="left" w:pos="500"/>
          <w:tab w:val="left" w:pos="501"/>
        </w:tabs>
        <w:ind w:right="663" w:hanging="360"/>
      </w:pPr>
      <w:r>
        <w:rPr>
          <w:color w:val="221F1F"/>
        </w:rPr>
        <w:t>Refer to product insert or other drug interaction resource for full list of</w:t>
      </w:r>
      <w:r>
        <w:rPr>
          <w:color w:val="221F1F"/>
          <w:spacing w:val="-7"/>
        </w:rPr>
        <w:t xml:space="preserve"> </w:t>
      </w:r>
      <w:r>
        <w:rPr>
          <w:color w:val="221F1F"/>
        </w:rPr>
        <w:t>interactions.</w:t>
      </w:r>
    </w:p>
    <w:p w14:paraId="5D9DCB47" w14:textId="77777777" w:rsidR="00513FD9" w:rsidRDefault="00513FD9">
      <w:pPr>
        <w:sectPr w:rsidR="00513FD9" w:rsidSect="006E2B84">
          <w:type w:val="continuous"/>
          <w:pgSz w:w="12240" w:h="15840"/>
          <w:pgMar w:top="1360" w:right="980" w:bottom="1040" w:left="94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4677" w:space="724"/>
            <w:col w:w="4919"/>
          </w:cols>
        </w:sectPr>
      </w:pPr>
    </w:p>
    <w:p w14:paraId="098C5C7B" w14:textId="08EF237C" w:rsidR="00513FD9" w:rsidRDefault="00F02F4E">
      <w:pPr>
        <w:pStyle w:val="Heading1"/>
        <w:spacing w:before="78" w:line="252" w:lineRule="exact"/>
        <w:ind w:left="100"/>
      </w:pPr>
      <w:r>
        <w:rPr>
          <w:color w:val="355F91"/>
        </w:rPr>
        <w:lastRenderedPageBreak/>
        <w:t>What type of monitoring is needed for INH treatment?</w:t>
      </w:r>
    </w:p>
    <w:p w14:paraId="68C48D8F" w14:textId="77777777" w:rsidR="00513FD9" w:rsidRDefault="00F02F4E">
      <w:pPr>
        <w:pStyle w:val="ListParagraph"/>
        <w:numPr>
          <w:ilvl w:val="0"/>
          <w:numId w:val="1"/>
        </w:numPr>
        <w:tabs>
          <w:tab w:val="left" w:pos="460"/>
          <w:tab w:val="left" w:pos="461"/>
        </w:tabs>
        <w:ind w:left="460" w:right="167" w:hanging="360"/>
      </w:pPr>
      <w:r>
        <w:rPr>
          <w:color w:val="221F1F"/>
        </w:rPr>
        <w:t>Monthly interview and brief physical examination to identify treatment-associated adverse</w:t>
      </w:r>
      <w:r>
        <w:rPr>
          <w:color w:val="221F1F"/>
          <w:spacing w:val="-17"/>
        </w:rPr>
        <w:t xml:space="preserve"> </w:t>
      </w:r>
      <w:r>
        <w:rPr>
          <w:color w:val="221F1F"/>
        </w:rPr>
        <w:t>events</w:t>
      </w:r>
    </w:p>
    <w:p w14:paraId="57778D9A" w14:textId="77777777" w:rsidR="00513FD9" w:rsidRDefault="00F02F4E">
      <w:pPr>
        <w:pStyle w:val="ListParagraph"/>
        <w:numPr>
          <w:ilvl w:val="0"/>
          <w:numId w:val="1"/>
        </w:numPr>
        <w:tabs>
          <w:tab w:val="left" w:pos="460"/>
          <w:tab w:val="left" w:pos="461"/>
        </w:tabs>
        <w:spacing w:before="18" w:line="252" w:lineRule="exact"/>
        <w:ind w:left="460" w:right="446" w:hanging="360"/>
      </w:pPr>
      <w:r>
        <w:rPr>
          <w:color w:val="221F1F"/>
        </w:rPr>
        <w:t>Baseline hepatic chemistry is recommended for patients with specific</w:t>
      </w:r>
      <w:r>
        <w:rPr>
          <w:color w:val="221F1F"/>
          <w:spacing w:val="-15"/>
        </w:rPr>
        <w:t xml:space="preserve"> </w:t>
      </w:r>
      <w:r>
        <w:rPr>
          <w:color w:val="221F1F"/>
        </w:rPr>
        <w:t>conditions.</w:t>
      </w:r>
    </w:p>
    <w:p w14:paraId="208020F1" w14:textId="77777777" w:rsidR="00513FD9" w:rsidRDefault="00F02F4E">
      <w:pPr>
        <w:pStyle w:val="ListParagraph"/>
        <w:numPr>
          <w:ilvl w:val="1"/>
          <w:numId w:val="1"/>
        </w:numPr>
        <w:tabs>
          <w:tab w:val="left" w:pos="820"/>
          <w:tab w:val="left" w:pos="821"/>
        </w:tabs>
        <w:spacing w:line="259" w:lineRule="exact"/>
        <w:ind w:left="820"/>
      </w:pPr>
      <w:r>
        <w:rPr>
          <w:color w:val="221F1F"/>
        </w:rPr>
        <w:t>HIV</w:t>
      </w:r>
      <w:r>
        <w:rPr>
          <w:color w:val="221F1F"/>
          <w:spacing w:val="-2"/>
        </w:rPr>
        <w:t xml:space="preserve"> </w:t>
      </w:r>
      <w:r>
        <w:rPr>
          <w:color w:val="221F1F"/>
        </w:rPr>
        <w:t>infection</w:t>
      </w:r>
    </w:p>
    <w:p w14:paraId="6E7C88C7" w14:textId="77777777" w:rsidR="00513FD9" w:rsidRDefault="00F02F4E">
      <w:pPr>
        <w:pStyle w:val="ListParagraph"/>
        <w:numPr>
          <w:ilvl w:val="1"/>
          <w:numId w:val="1"/>
        </w:numPr>
        <w:tabs>
          <w:tab w:val="left" w:pos="820"/>
          <w:tab w:val="left" w:pos="821"/>
        </w:tabs>
        <w:spacing w:line="253" w:lineRule="exact"/>
        <w:ind w:left="820"/>
      </w:pPr>
      <w:r>
        <w:rPr>
          <w:color w:val="221F1F"/>
        </w:rPr>
        <w:t>Liver</w:t>
      </w:r>
      <w:r>
        <w:rPr>
          <w:color w:val="221F1F"/>
          <w:spacing w:val="-3"/>
        </w:rPr>
        <w:t xml:space="preserve"> </w:t>
      </w:r>
      <w:r>
        <w:rPr>
          <w:color w:val="221F1F"/>
        </w:rPr>
        <w:t>disorders</w:t>
      </w:r>
    </w:p>
    <w:p w14:paraId="3A982238" w14:textId="77777777" w:rsidR="00513FD9" w:rsidRDefault="00F02F4E">
      <w:pPr>
        <w:pStyle w:val="ListParagraph"/>
        <w:numPr>
          <w:ilvl w:val="1"/>
          <w:numId w:val="1"/>
        </w:numPr>
        <w:tabs>
          <w:tab w:val="left" w:pos="820"/>
          <w:tab w:val="left" w:pos="821"/>
        </w:tabs>
        <w:spacing w:before="4" w:line="223" w:lineRule="auto"/>
        <w:ind w:left="820" w:right="166"/>
      </w:pPr>
      <w:r>
        <w:rPr>
          <w:color w:val="221F1F"/>
        </w:rPr>
        <w:t>In the immediate (within 3 months) postpartum period</w:t>
      </w:r>
    </w:p>
    <w:p w14:paraId="796595C8" w14:textId="77777777" w:rsidR="00513FD9" w:rsidRDefault="00F02F4E">
      <w:pPr>
        <w:pStyle w:val="ListParagraph"/>
        <w:numPr>
          <w:ilvl w:val="1"/>
          <w:numId w:val="1"/>
        </w:numPr>
        <w:tabs>
          <w:tab w:val="left" w:pos="820"/>
          <w:tab w:val="left" w:pos="821"/>
        </w:tabs>
        <w:spacing w:before="2" w:line="262" w:lineRule="exact"/>
        <w:ind w:left="820"/>
      </w:pPr>
      <w:r>
        <w:rPr>
          <w:color w:val="221F1F"/>
        </w:rPr>
        <w:t>Regular alcohol</w:t>
      </w:r>
      <w:r>
        <w:rPr>
          <w:color w:val="221F1F"/>
          <w:spacing w:val="-4"/>
        </w:rPr>
        <w:t xml:space="preserve"> </w:t>
      </w:r>
      <w:r>
        <w:rPr>
          <w:color w:val="221F1F"/>
        </w:rPr>
        <w:t>use</w:t>
      </w:r>
    </w:p>
    <w:p w14:paraId="493018E2" w14:textId="77777777" w:rsidR="00513FD9" w:rsidRDefault="00F02F4E">
      <w:pPr>
        <w:pStyle w:val="ListParagraph"/>
        <w:numPr>
          <w:ilvl w:val="1"/>
          <w:numId w:val="1"/>
        </w:numPr>
        <w:tabs>
          <w:tab w:val="left" w:pos="820"/>
          <w:tab w:val="left" w:pos="821"/>
        </w:tabs>
        <w:spacing w:before="4" w:line="223" w:lineRule="auto"/>
        <w:ind w:left="820"/>
      </w:pPr>
      <w:r>
        <w:rPr>
          <w:color w:val="221F1F"/>
        </w:rPr>
        <w:t>Consider also for older persons and those</w:t>
      </w:r>
      <w:r>
        <w:rPr>
          <w:color w:val="221F1F"/>
          <w:spacing w:val="-16"/>
        </w:rPr>
        <w:t xml:space="preserve"> </w:t>
      </w:r>
      <w:r>
        <w:rPr>
          <w:color w:val="221F1F"/>
        </w:rPr>
        <w:t>taking medications for chronic medical</w:t>
      </w:r>
      <w:r>
        <w:rPr>
          <w:color w:val="221F1F"/>
          <w:spacing w:val="-14"/>
        </w:rPr>
        <w:t xml:space="preserve"> </w:t>
      </w:r>
      <w:r>
        <w:rPr>
          <w:color w:val="221F1F"/>
        </w:rPr>
        <w:t>conditions</w:t>
      </w:r>
    </w:p>
    <w:p w14:paraId="5537806D" w14:textId="77777777" w:rsidR="00513FD9" w:rsidRDefault="00F02F4E">
      <w:pPr>
        <w:pStyle w:val="ListParagraph"/>
        <w:numPr>
          <w:ilvl w:val="0"/>
          <w:numId w:val="1"/>
        </w:numPr>
        <w:tabs>
          <w:tab w:val="left" w:pos="460"/>
          <w:tab w:val="left" w:pos="461"/>
        </w:tabs>
        <w:spacing w:before="2"/>
        <w:ind w:left="460" w:right="204" w:hanging="360"/>
      </w:pPr>
      <w:r>
        <w:rPr>
          <w:color w:val="221F1F"/>
        </w:rPr>
        <w:t>If baseline hepatic chemistry testing is abnormal, continue with at least monthly testing and consider viral hepatitis</w:t>
      </w:r>
      <w:r>
        <w:rPr>
          <w:color w:val="221F1F"/>
          <w:spacing w:val="-6"/>
        </w:rPr>
        <w:t xml:space="preserve"> </w:t>
      </w:r>
      <w:r>
        <w:rPr>
          <w:color w:val="221F1F"/>
        </w:rPr>
        <w:t>testing.</w:t>
      </w:r>
    </w:p>
    <w:p w14:paraId="4D46A5C5" w14:textId="77777777" w:rsidR="00513FD9" w:rsidRDefault="00F02F4E">
      <w:pPr>
        <w:pStyle w:val="ListParagraph"/>
        <w:numPr>
          <w:ilvl w:val="0"/>
          <w:numId w:val="1"/>
        </w:numPr>
        <w:tabs>
          <w:tab w:val="left" w:pos="460"/>
          <w:tab w:val="left" w:pos="461"/>
        </w:tabs>
        <w:spacing w:before="21" w:line="252" w:lineRule="exact"/>
        <w:ind w:left="460" w:right="297" w:hanging="360"/>
      </w:pPr>
      <w:r>
        <w:rPr>
          <w:color w:val="221F1F"/>
        </w:rPr>
        <w:t>See “Evaluation of patients with a positive test for latent TB infection” for more</w:t>
      </w:r>
      <w:r>
        <w:rPr>
          <w:color w:val="221F1F"/>
          <w:spacing w:val="-8"/>
        </w:rPr>
        <w:t xml:space="preserve"> </w:t>
      </w:r>
      <w:r>
        <w:rPr>
          <w:color w:val="221F1F"/>
        </w:rPr>
        <w:t>information.</w:t>
      </w:r>
    </w:p>
    <w:p w14:paraId="2A525E0B" w14:textId="77777777" w:rsidR="00513FD9" w:rsidRDefault="00513FD9">
      <w:pPr>
        <w:pStyle w:val="BodyText"/>
        <w:spacing w:before="6"/>
        <w:ind w:firstLine="0"/>
        <w:rPr>
          <w:sz w:val="21"/>
        </w:rPr>
      </w:pPr>
    </w:p>
    <w:p w14:paraId="34EE9FEB" w14:textId="77777777" w:rsidR="00513FD9" w:rsidRDefault="00F02F4E">
      <w:pPr>
        <w:pStyle w:val="Heading1"/>
        <w:ind w:left="100"/>
      </w:pPr>
      <w:r>
        <w:rPr>
          <w:color w:val="355F91"/>
        </w:rPr>
        <w:t>What is completion of treatment?</w:t>
      </w:r>
    </w:p>
    <w:p w14:paraId="4179BEA2" w14:textId="3CCAE64C" w:rsidR="00513FD9" w:rsidRPr="00563FEE" w:rsidRDefault="00F02F4E">
      <w:pPr>
        <w:pStyle w:val="ListParagraph"/>
        <w:numPr>
          <w:ilvl w:val="0"/>
          <w:numId w:val="1"/>
        </w:numPr>
        <w:tabs>
          <w:tab w:val="left" w:pos="460"/>
          <w:tab w:val="left" w:pos="461"/>
        </w:tabs>
        <w:spacing w:before="21" w:line="252" w:lineRule="exact"/>
        <w:ind w:left="460" w:right="237" w:hanging="360"/>
      </w:pPr>
      <w:r>
        <w:rPr>
          <w:color w:val="221F1F"/>
        </w:rPr>
        <w:t xml:space="preserve">270 doses taken within a </w:t>
      </w:r>
      <w:proofErr w:type="gramStart"/>
      <w:r>
        <w:rPr>
          <w:color w:val="221F1F"/>
        </w:rPr>
        <w:t>12 month</w:t>
      </w:r>
      <w:proofErr w:type="gramEnd"/>
      <w:r>
        <w:rPr>
          <w:color w:val="221F1F"/>
        </w:rPr>
        <w:t xml:space="preserve"> period or 180 doses taken within a 9 month period is considered adequate</w:t>
      </w:r>
      <w:r>
        <w:rPr>
          <w:color w:val="221F1F"/>
          <w:spacing w:val="-1"/>
        </w:rPr>
        <w:t xml:space="preserve"> </w:t>
      </w:r>
      <w:r>
        <w:rPr>
          <w:color w:val="221F1F"/>
        </w:rPr>
        <w:t>treatment.</w:t>
      </w:r>
    </w:p>
    <w:p w14:paraId="4EF1C5C1" w14:textId="4D6704AF" w:rsidR="00563FEE" w:rsidRDefault="00563FEE" w:rsidP="00563FEE">
      <w:pPr>
        <w:tabs>
          <w:tab w:val="left" w:pos="460"/>
          <w:tab w:val="left" w:pos="461"/>
        </w:tabs>
        <w:spacing w:before="21" w:line="252" w:lineRule="exact"/>
        <w:ind w:right="237"/>
      </w:pPr>
    </w:p>
    <w:p w14:paraId="042B929E" w14:textId="16A47BE3" w:rsidR="00563FEE" w:rsidRDefault="00563FEE" w:rsidP="00563FEE">
      <w:pPr>
        <w:tabs>
          <w:tab w:val="left" w:pos="460"/>
          <w:tab w:val="left" w:pos="461"/>
        </w:tabs>
        <w:spacing w:before="21" w:line="252" w:lineRule="exact"/>
        <w:ind w:right="237"/>
      </w:pPr>
    </w:p>
    <w:p w14:paraId="3F3167B1" w14:textId="5A7D05A9" w:rsidR="00563FEE" w:rsidRDefault="00563FEE" w:rsidP="00563FEE">
      <w:pPr>
        <w:tabs>
          <w:tab w:val="left" w:pos="460"/>
          <w:tab w:val="left" w:pos="461"/>
        </w:tabs>
        <w:spacing w:before="21" w:line="252" w:lineRule="exact"/>
        <w:ind w:right="237"/>
      </w:pPr>
      <w:r>
        <w:t>Adapted from CDOH July 2019</w:t>
      </w:r>
    </w:p>
    <w:p w14:paraId="76931288" w14:textId="77777777" w:rsidR="00513FD9" w:rsidRDefault="00F02F4E">
      <w:pPr>
        <w:pStyle w:val="Heading1"/>
        <w:spacing w:before="78"/>
        <w:ind w:left="100"/>
      </w:pPr>
      <w:r>
        <w:rPr>
          <w:b w:val="0"/>
        </w:rPr>
        <w:br w:type="column"/>
      </w:r>
      <w:r>
        <w:rPr>
          <w:color w:val="355F91"/>
        </w:rPr>
        <w:t>Resources</w:t>
      </w:r>
    </w:p>
    <w:p w14:paraId="6498E185" w14:textId="77777777" w:rsidR="00513FD9" w:rsidRDefault="00F02F4E">
      <w:pPr>
        <w:pStyle w:val="BodyText"/>
        <w:spacing w:line="242" w:lineRule="auto"/>
        <w:ind w:left="100" w:right="386" w:firstLine="0"/>
      </w:pPr>
      <w:r>
        <w:rPr>
          <w:color w:val="221F1F"/>
        </w:rPr>
        <w:t xml:space="preserve">Centers for Disease Control and Prevention Division of Tuberculosis Elimination website: </w:t>
      </w:r>
      <w:hyperlink r:id="rId12">
        <w:r>
          <w:rPr>
            <w:color w:val="3952A3"/>
            <w:u w:val="single" w:color="3952A3"/>
          </w:rPr>
          <w:t>http://www.cdc.gov/tb/</w:t>
        </w:r>
      </w:hyperlink>
    </w:p>
    <w:p w14:paraId="5810A898" w14:textId="77777777" w:rsidR="00513FD9" w:rsidRDefault="00513FD9">
      <w:pPr>
        <w:pStyle w:val="BodyText"/>
        <w:spacing w:before="8"/>
        <w:ind w:firstLine="0"/>
        <w:rPr>
          <w:sz w:val="21"/>
        </w:rPr>
      </w:pPr>
    </w:p>
    <w:p w14:paraId="639209E3" w14:textId="5ED8E710" w:rsidR="007B16F1" w:rsidRDefault="00F02F4E" w:rsidP="007B16F1">
      <w:pPr>
        <w:pStyle w:val="BodyText"/>
        <w:ind w:left="100" w:right="139" w:firstLine="0"/>
        <w:rPr>
          <w:sz w:val="23"/>
        </w:rPr>
      </w:pPr>
      <w:r>
        <w:rPr>
          <w:color w:val="221F1F"/>
        </w:rPr>
        <w:t xml:space="preserve">American Academy of Pediatrics, Red Book Online, Tuberculosis: </w:t>
      </w:r>
      <w:hyperlink r:id="rId13">
        <w:r>
          <w:rPr>
            <w:color w:val="0462C1"/>
            <w:u w:val="single" w:color="3952A3"/>
          </w:rPr>
          <w:t>https://redbook.solutions.aap.org/chapter.aspx?sectionid=</w:t>
        </w:r>
      </w:hyperlink>
      <w:r>
        <w:rPr>
          <w:color w:val="0462C1"/>
          <w:u w:val="single" w:color="3952A3"/>
        </w:rPr>
        <w:t xml:space="preserve"> </w:t>
      </w:r>
      <w:hyperlink r:id="rId14">
        <w:r>
          <w:rPr>
            <w:color w:val="0462C1"/>
            <w:u w:val="single" w:color="3952A3"/>
          </w:rPr>
          <w:t>189640207&amp;bookid=2205</w:t>
        </w:r>
      </w:hyperlink>
    </w:p>
    <w:p w14:paraId="0B3E9443" w14:textId="5276AB09" w:rsidR="006E2B84" w:rsidRPr="006E2B84" w:rsidRDefault="006E2B84" w:rsidP="007B16F1">
      <w:pPr>
        <w:pStyle w:val="BodyText"/>
        <w:spacing w:before="4"/>
        <w:ind w:firstLine="0"/>
        <w:rPr>
          <w:color w:val="1F497D" w:themeColor="text2"/>
          <w:sz w:val="23"/>
        </w:rPr>
      </w:pPr>
      <w:r>
        <w:rPr>
          <w:sz w:val="23"/>
        </w:rPr>
        <w:t xml:space="preserve">Global Tuberculosis </w:t>
      </w:r>
      <w:r w:rsidR="00CA7F16">
        <w:rPr>
          <w:sz w:val="23"/>
        </w:rPr>
        <w:t>Institute</w:t>
      </w:r>
      <w:r>
        <w:rPr>
          <w:sz w:val="23"/>
        </w:rPr>
        <w:t xml:space="preserve">: </w:t>
      </w:r>
      <w:hyperlink r:id="rId15" w:history="1">
        <w:r w:rsidRPr="006E2B84">
          <w:rPr>
            <w:rStyle w:val="Hyperlink"/>
            <w:color w:val="1F497D" w:themeColor="text2"/>
            <w:sz w:val="23"/>
          </w:rPr>
          <w:t>http://globaltb.njms.rutgers.edu/</w:t>
        </w:r>
      </w:hyperlink>
    </w:p>
    <w:p w14:paraId="7EB84BF7" w14:textId="77777777" w:rsidR="006E2B84" w:rsidRDefault="006E2B84">
      <w:pPr>
        <w:pStyle w:val="BodyText"/>
        <w:spacing w:before="4"/>
        <w:ind w:firstLine="0"/>
        <w:rPr>
          <w:sz w:val="23"/>
        </w:rPr>
      </w:pPr>
    </w:p>
    <w:sectPr w:rsidR="006E2B84" w:rsidSect="006E2B84">
      <w:pgSz w:w="12240" w:h="15840"/>
      <w:pgMar w:top="1360" w:right="980" w:bottom="1040" w:left="980" w:header="0" w:footer="845" w:gutter="0"/>
      <w:pgBorders w:offsetFrom="page">
        <w:top w:val="double" w:sz="4" w:space="24" w:color="auto"/>
        <w:left w:val="double" w:sz="4" w:space="24" w:color="auto"/>
        <w:bottom w:val="double" w:sz="4" w:space="24" w:color="auto"/>
        <w:right w:val="double" w:sz="4" w:space="24" w:color="auto"/>
      </w:pgBorders>
      <w:cols w:num="2" w:space="720" w:equalWidth="0">
        <w:col w:w="4702" w:space="699"/>
        <w:col w:w="48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4BD42" w14:textId="77777777" w:rsidR="00EC7908" w:rsidRDefault="00EC7908">
      <w:r>
        <w:separator/>
      </w:r>
    </w:p>
  </w:endnote>
  <w:endnote w:type="continuationSeparator" w:id="0">
    <w:p w14:paraId="16E95A23" w14:textId="77777777" w:rsidR="00EC7908" w:rsidRDefault="00EC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266F" w14:textId="3E04623F" w:rsidR="00513FD9" w:rsidRDefault="006E2B84">
    <w:pPr>
      <w:pStyle w:val="BodyText"/>
      <w:spacing w:line="14" w:lineRule="auto"/>
      <w:ind w:firstLine="0"/>
      <w:rPr>
        <w:sz w:val="20"/>
      </w:rPr>
    </w:pPr>
    <w:r>
      <w:rPr>
        <w:noProof/>
      </w:rPr>
      <mc:AlternateContent>
        <mc:Choice Requires="wps">
          <w:drawing>
            <wp:inline distT="0" distB="0" distL="0" distR="0" wp14:anchorId="35160DA7" wp14:editId="6EA23273">
              <wp:extent cx="3848100" cy="20955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83C98E" w14:textId="5C29AC86" w:rsidR="00513FD9" w:rsidRDefault="00F02F4E">
                          <w:pPr>
                            <w:spacing w:line="223" w:lineRule="exact"/>
                            <w:ind w:left="20"/>
                            <w:rPr>
                              <w:rFonts w:ascii="Calibri"/>
                              <w:i/>
                              <w:sz w:val="20"/>
                            </w:rPr>
                          </w:pPr>
                          <w:r>
                            <w:rPr>
                              <w:rFonts w:ascii="Calibri"/>
                              <w:i/>
                              <w:sz w:val="20"/>
                            </w:rPr>
                            <w:t>Isoniazid for LTBI Treatment (September 2018</w:t>
                          </w:r>
                          <w:proofErr w:type="gramStart"/>
                          <w:r>
                            <w:rPr>
                              <w:rFonts w:ascii="Calibri"/>
                              <w:i/>
                              <w:sz w:val="20"/>
                            </w:rPr>
                            <w:t>)</w:t>
                          </w:r>
                          <w:r w:rsidR="00D0609A">
                            <w:rPr>
                              <w:rFonts w:ascii="Calibri"/>
                              <w:i/>
                              <w:sz w:val="20"/>
                            </w:rPr>
                            <w:t xml:space="preserve">  FHD</w:t>
                          </w:r>
                          <w:proofErr w:type="gramEnd"/>
                          <w:r w:rsidR="00D0609A">
                            <w:rPr>
                              <w:rFonts w:ascii="Calibri"/>
                              <w:i/>
                              <w:sz w:val="20"/>
                            </w:rPr>
                            <w:t>-CL-T-1A</w:t>
                          </w:r>
                        </w:p>
                      </w:txbxContent>
                    </wps:txbx>
                    <wps:bodyPr rot="0" vert="horz" wrap="square" lIns="0" tIns="0" rIns="0" bIns="0" anchor="t" anchorCtr="0" upright="1">
                      <a:noAutofit/>
                    </wps:bodyPr>
                  </wps:wsp>
                </a:graphicData>
              </a:graphic>
            </wp:inline>
          </w:drawing>
        </mc:Choice>
        <mc:Fallback>
          <w:pict>
            <v:shapetype w14:anchorId="35160DA7" id="_x0000_t202" coordsize="21600,21600" o:spt="202" path="m,l,21600r21600,l21600,xe">
              <v:stroke joinstyle="miter"/>
              <v:path gradientshapeok="t" o:connecttype="rect"/>
            </v:shapetype>
            <v:shape id="Text Box 2" o:spid="_x0000_s1027" type="#_x0000_t202" style="width:30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T2rg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" filled="f" stroked="f">
              <v:textbox inset="0,0,0,0">
                <w:txbxContent>
                  <w:p w14:paraId="6683C98E" w14:textId="5C29AC86" w:rsidR="00513FD9" w:rsidRDefault="00F02F4E">
                    <w:pPr>
                      <w:spacing w:line="223" w:lineRule="exact"/>
                      <w:ind w:left="20"/>
                      <w:rPr>
                        <w:rFonts w:ascii="Calibri"/>
                        <w:i/>
                        <w:sz w:val="20"/>
                      </w:rPr>
                    </w:pPr>
                    <w:r>
                      <w:rPr>
                        <w:rFonts w:ascii="Calibri"/>
                        <w:i/>
                        <w:sz w:val="20"/>
                      </w:rPr>
                      <w:t>Isoniazid for LTBI Treatment (September 2018</w:t>
                    </w:r>
                    <w:proofErr w:type="gramStart"/>
                    <w:r>
                      <w:rPr>
                        <w:rFonts w:ascii="Calibri"/>
                        <w:i/>
                        <w:sz w:val="20"/>
                      </w:rPr>
                      <w:t>)</w:t>
                    </w:r>
                    <w:r w:rsidR="00D0609A">
                      <w:rPr>
                        <w:rFonts w:ascii="Calibri"/>
                        <w:i/>
                        <w:sz w:val="20"/>
                      </w:rPr>
                      <w:t xml:space="preserve">  FHD</w:t>
                    </w:r>
                    <w:proofErr w:type="gramEnd"/>
                    <w:r w:rsidR="00D0609A">
                      <w:rPr>
                        <w:rFonts w:ascii="Calibri"/>
                        <w:i/>
                        <w:sz w:val="20"/>
                      </w:rPr>
                      <w:t>-CL-T-1A</w:t>
                    </w:r>
                  </w:p>
                </w:txbxContent>
              </v:textbox>
              <w10:anchorlock/>
            </v:shape>
          </w:pict>
        </mc:Fallback>
      </mc:AlternateContent>
    </w:r>
    <w:r>
      <w:rPr>
        <w:noProof/>
      </w:rPr>
      <mc:AlternateContent>
        <mc:Choice Requires="wps">
          <w:drawing>
            <wp:inline distT="0" distB="0" distL="0" distR="0" wp14:anchorId="2A167F22" wp14:editId="594D814C">
              <wp:extent cx="680720" cy="152400"/>
              <wp:effectExtent l="0" t="0" r="508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21795" w14:textId="77777777" w:rsidR="00513FD9" w:rsidRDefault="00F02F4E">
                          <w:pPr>
                            <w:spacing w:line="223" w:lineRule="exact"/>
                            <w:ind w:left="20"/>
                            <w:rPr>
                              <w:rFonts w:ascii="Calibri"/>
                              <w:sz w:val="20"/>
                            </w:rPr>
                          </w:pPr>
                          <w:r>
                            <w:rPr>
                              <w:rFonts w:ascii="Calibri"/>
                              <w:sz w:val="20"/>
                            </w:rPr>
                            <w:t xml:space="preserve">Page | </w:t>
                          </w:r>
                          <w:r>
                            <w:fldChar w:fldCharType="begin"/>
                          </w:r>
                          <w:r>
                            <w:rPr>
                              <w:rFonts w:ascii="Calibri"/>
                              <w:sz w:val="20"/>
                            </w:rPr>
                            <w:instrText xml:space="preserve"> PAGE </w:instrText>
                          </w:r>
                          <w:r>
                            <w:fldChar w:fldCharType="separate"/>
                          </w:r>
                          <w:r>
                            <w:t>1</w:t>
                          </w:r>
                          <w:r>
                            <w:fldChar w:fldCharType="end"/>
                          </w:r>
                          <w:r>
                            <w:rPr>
                              <w:rFonts w:ascii="Calibri"/>
                              <w:sz w:val="20"/>
                            </w:rPr>
                            <w:t xml:space="preserve"> of 2</w:t>
                          </w:r>
                        </w:p>
                      </w:txbxContent>
                    </wps:txbx>
                    <wps:bodyPr rot="0" vert="horz" wrap="square" lIns="0" tIns="0" rIns="0" bIns="0" anchor="t" anchorCtr="0" upright="1">
                      <a:noAutofit/>
                    </wps:bodyPr>
                  </wps:wsp>
                </a:graphicData>
              </a:graphic>
            </wp:inline>
          </w:drawing>
        </mc:Choice>
        <mc:Fallback>
          <w:pict>
            <v:shape w14:anchorId="2A167F22" id="Text Box 1" o:spid="_x0000_s1028" type="#_x0000_t202" style="width:53.6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s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" filled="f" stroked="f">
              <v:textbox inset="0,0,0,0">
                <w:txbxContent>
                  <w:p w14:paraId="4CA21795" w14:textId="77777777" w:rsidR="00513FD9" w:rsidRDefault="00F02F4E">
                    <w:pPr>
                      <w:spacing w:line="223" w:lineRule="exact"/>
                      <w:ind w:left="20"/>
                      <w:rPr>
                        <w:rFonts w:ascii="Calibri"/>
                        <w:sz w:val="20"/>
                      </w:rPr>
                    </w:pPr>
                    <w:r>
                      <w:rPr>
                        <w:rFonts w:ascii="Calibri"/>
                        <w:sz w:val="20"/>
                      </w:rPr>
                      <w:t xml:space="preserve">Page | </w:t>
                    </w:r>
                    <w:r>
                      <w:fldChar w:fldCharType="begin"/>
                    </w:r>
                    <w:r>
                      <w:rPr>
                        <w:rFonts w:ascii="Calibri"/>
                        <w:sz w:val="20"/>
                      </w:rPr>
                      <w:instrText xml:space="preserve"> PAGE </w:instrText>
                    </w:r>
                    <w:r>
                      <w:fldChar w:fldCharType="separate"/>
                    </w:r>
                    <w:r>
                      <w:t>1</w:t>
                    </w:r>
                    <w:r>
                      <w:fldChar w:fldCharType="end"/>
                    </w:r>
                    <w:r>
                      <w:rPr>
                        <w:rFonts w:ascii="Calibri"/>
                        <w:sz w:val="20"/>
                      </w:rPr>
                      <w:t xml:space="preserve"> of 2</w:t>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CAAC" w14:textId="77777777" w:rsidR="00EC7908" w:rsidRDefault="00EC7908">
      <w:r>
        <w:separator/>
      </w:r>
    </w:p>
  </w:footnote>
  <w:footnote w:type="continuationSeparator" w:id="0">
    <w:p w14:paraId="32826EF8" w14:textId="77777777" w:rsidR="00EC7908" w:rsidRDefault="00EC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246A7"/>
    <w:multiLevelType w:val="hybridMultilevel"/>
    <w:tmpl w:val="6E7850CC"/>
    <w:lvl w:ilvl="0" w:tplc="1CD6C8D0">
      <w:numFmt w:val="bullet"/>
      <w:lvlText w:val=""/>
      <w:lvlJc w:val="left"/>
      <w:pPr>
        <w:ind w:left="500" w:hanging="361"/>
      </w:pPr>
      <w:rPr>
        <w:rFonts w:ascii="Symbol" w:eastAsia="Symbol" w:hAnsi="Symbol" w:cs="Symbol" w:hint="default"/>
        <w:w w:val="100"/>
        <w:sz w:val="22"/>
        <w:szCs w:val="22"/>
      </w:rPr>
    </w:lvl>
    <w:lvl w:ilvl="1" w:tplc="8AD0D2DE">
      <w:numFmt w:val="bullet"/>
      <w:lvlText w:val="o"/>
      <w:lvlJc w:val="left"/>
      <w:pPr>
        <w:ind w:left="860" w:hanging="360"/>
      </w:pPr>
      <w:rPr>
        <w:rFonts w:ascii="Courier New" w:eastAsia="Courier New" w:hAnsi="Courier New" w:cs="Courier New" w:hint="default"/>
        <w:w w:val="100"/>
        <w:sz w:val="22"/>
        <w:szCs w:val="22"/>
      </w:rPr>
    </w:lvl>
    <w:lvl w:ilvl="2" w:tplc="26C22B1A">
      <w:numFmt w:val="bullet"/>
      <w:lvlText w:val=""/>
      <w:lvlJc w:val="left"/>
      <w:pPr>
        <w:ind w:left="5901" w:hanging="361"/>
      </w:pPr>
      <w:rPr>
        <w:rFonts w:ascii="Symbol" w:eastAsia="Symbol" w:hAnsi="Symbol" w:cs="Symbol" w:hint="default"/>
        <w:w w:val="100"/>
        <w:sz w:val="22"/>
        <w:szCs w:val="22"/>
      </w:rPr>
    </w:lvl>
    <w:lvl w:ilvl="3" w:tplc="13EA3A98">
      <w:numFmt w:val="bullet"/>
      <w:lvlText w:val="•"/>
      <w:lvlJc w:val="left"/>
      <w:pPr>
        <w:ind w:left="5900" w:hanging="361"/>
      </w:pPr>
      <w:rPr>
        <w:rFonts w:hint="default"/>
      </w:rPr>
    </w:lvl>
    <w:lvl w:ilvl="4" w:tplc="5F9A2686">
      <w:numFmt w:val="bullet"/>
      <w:lvlText w:val="•"/>
      <w:lvlJc w:val="left"/>
      <w:pPr>
        <w:ind w:left="4963" w:hanging="361"/>
      </w:pPr>
      <w:rPr>
        <w:rFonts w:hint="default"/>
      </w:rPr>
    </w:lvl>
    <w:lvl w:ilvl="5" w:tplc="3740E36E">
      <w:numFmt w:val="bullet"/>
      <w:lvlText w:val="•"/>
      <w:lvlJc w:val="left"/>
      <w:pPr>
        <w:ind w:left="4025" w:hanging="361"/>
      </w:pPr>
      <w:rPr>
        <w:rFonts w:hint="default"/>
      </w:rPr>
    </w:lvl>
    <w:lvl w:ilvl="6" w:tplc="9BE634A4">
      <w:numFmt w:val="bullet"/>
      <w:lvlText w:val="•"/>
      <w:lvlJc w:val="left"/>
      <w:pPr>
        <w:ind w:left="3088" w:hanging="361"/>
      </w:pPr>
      <w:rPr>
        <w:rFonts w:hint="default"/>
      </w:rPr>
    </w:lvl>
    <w:lvl w:ilvl="7" w:tplc="D9B23598">
      <w:numFmt w:val="bullet"/>
      <w:lvlText w:val="•"/>
      <w:lvlJc w:val="left"/>
      <w:pPr>
        <w:ind w:left="2151" w:hanging="361"/>
      </w:pPr>
      <w:rPr>
        <w:rFonts w:hint="default"/>
      </w:rPr>
    </w:lvl>
    <w:lvl w:ilvl="8" w:tplc="702826B8">
      <w:numFmt w:val="bullet"/>
      <w:lvlText w:val="•"/>
      <w:lvlJc w:val="left"/>
      <w:pPr>
        <w:ind w:left="1214"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D9"/>
    <w:rsid w:val="000C41AB"/>
    <w:rsid w:val="00163F96"/>
    <w:rsid w:val="002A7968"/>
    <w:rsid w:val="00513FD9"/>
    <w:rsid w:val="005205A9"/>
    <w:rsid w:val="00563FEE"/>
    <w:rsid w:val="00605971"/>
    <w:rsid w:val="006E2B84"/>
    <w:rsid w:val="007B16F1"/>
    <w:rsid w:val="0091391C"/>
    <w:rsid w:val="009D4D64"/>
    <w:rsid w:val="00BB5DC3"/>
    <w:rsid w:val="00CA7F16"/>
    <w:rsid w:val="00CD2B33"/>
    <w:rsid w:val="00D0609A"/>
    <w:rsid w:val="00EC7908"/>
    <w:rsid w:val="00F02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049CA"/>
  <w15:docId w15:val="{C0FD24D1-F401-4F99-9021-841073E8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pPr>
      <w:ind w:left="31" w:right="191"/>
    </w:pPr>
    <w:rPr>
      <w:u w:val="single" w:color="000000"/>
    </w:rPr>
  </w:style>
  <w:style w:type="character" w:styleId="Hyperlink">
    <w:name w:val="Hyperlink"/>
    <w:basedOn w:val="DefaultParagraphFont"/>
    <w:uiPriority w:val="99"/>
    <w:unhideWhenUsed/>
    <w:rsid w:val="006E2B84"/>
    <w:rPr>
      <w:color w:val="0000FF" w:themeColor="hyperlink"/>
      <w:u w:val="single"/>
    </w:rPr>
  </w:style>
  <w:style w:type="character" w:styleId="UnresolvedMention">
    <w:name w:val="Unresolved Mention"/>
    <w:basedOn w:val="DefaultParagraphFont"/>
    <w:uiPriority w:val="99"/>
    <w:semiHidden/>
    <w:unhideWhenUsed/>
    <w:rsid w:val="006E2B84"/>
    <w:rPr>
      <w:color w:val="605E5C"/>
      <w:shd w:val="clear" w:color="auto" w:fill="E1DFDD"/>
    </w:rPr>
  </w:style>
  <w:style w:type="paragraph" w:styleId="Header">
    <w:name w:val="header"/>
    <w:basedOn w:val="Normal"/>
    <w:link w:val="HeaderChar"/>
    <w:uiPriority w:val="99"/>
    <w:unhideWhenUsed/>
    <w:rsid w:val="00D0609A"/>
    <w:pPr>
      <w:tabs>
        <w:tab w:val="center" w:pos="4680"/>
        <w:tab w:val="right" w:pos="9360"/>
      </w:tabs>
    </w:pPr>
  </w:style>
  <w:style w:type="character" w:customStyle="1" w:styleId="HeaderChar">
    <w:name w:val="Header Char"/>
    <w:basedOn w:val="DefaultParagraphFont"/>
    <w:link w:val="Header"/>
    <w:uiPriority w:val="99"/>
    <w:rsid w:val="00D0609A"/>
    <w:rPr>
      <w:rFonts w:ascii="Arial Narrow" w:eastAsia="Arial Narrow" w:hAnsi="Arial Narrow" w:cs="Arial Narrow"/>
    </w:rPr>
  </w:style>
  <w:style w:type="paragraph" w:styleId="Footer">
    <w:name w:val="footer"/>
    <w:basedOn w:val="Normal"/>
    <w:link w:val="FooterChar"/>
    <w:uiPriority w:val="99"/>
    <w:unhideWhenUsed/>
    <w:rsid w:val="00D0609A"/>
    <w:pPr>
      <w:tabs>
        <w:tab w:val="center" w:pos="4680"/>
        <w:tab w:val="right" w:pos="9360"/>
      </w:tabs>
    </w:pPr>
  </w:style>
  <w:style w:type="character" w:customStyle="1" w:styleId="FooterChar">
    <w:name w:val="Footer Char"/>
    <w:basedOn w:val="DefaultParagraphFont"/>
    <w:link w:val="Footer"/>
    <w:uiPriority w:val="99"/>
    <w:rsid w:val="00D0609A"/>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book.solutions.aap.org/chapter.aspx?sectionid=189640207&amp;amp;bookid=22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t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globaltb.njms.rutgers.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dbook.solutions.aap.org/chapter.aspx?sectionid=189640207&amp;amp;bookid=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9e485c73-6d97-44ad-be46-a771a3bf554d">1.1</Number>
    <Description0 xmlns="9e485c73-6d97-44ad-be46-a771a3bf554d">Form</Description0>
    <TaxCatchAll xmlns="dba358f0-9990-495c-8af8-fa9baed2c8ad">
      <Value>550</Value>
      <Value>549</Value>
      <Value>1667</Value>
    </TaxCatchAll>
    <TaxKeywordTaxHTField xmlns="1bbbabad-0fab-4688-bc3c-b10b86659f04">
      <Terms xmlns="http://schemas.microsoft.com/office/infopath/2007/PartnerControls">
        <TermInfo xmlns="http://schemas.microsoft.com/office/infopath/2007/PartnerControls">
          <TermName xmlns="http://schemas.microsoft.com/office/infopath/2007/PartnerControls">LTBI</TermName>
          <TermId xmlns="http://schemas.microsoft.com/office/infopath/2007/PartnerControls">be04c8ef-5c38-4ac7-94b7-e62bce940174</TermId>
        </TermInfo>
        <TermInfo xmlns="http://schemas.microsoft.com/office/infopath/2007/PartnerControls">
          <TermName xmlns="http://schemas.microsoft.com/office/infopath/2007/PartnerControls">INH</TermName>
          <TermId xmlns="http://schemas.microsoft.com/office/infopath/2007/PartnerControls">cf17bcca-c29c-47d4-a440-b601fa7c2d45</TermId>
        </TermInfo>
        <TermInfo xmlns="http://schemas.microsoft.com/office/infopath/2007/PartnerControls">
          <TermName xmlns="http://schemas.microsoft.com/office/infopath/2007/PartnerControls">Provider</TermName>
          <TermId xmlns="http://schemas.microsoft.com/office/infopath/2007/PartnerControls">c66ea1c4-bbf8-4a41-9101-9a45a6d2d929</TermId>
        </TermInfo>
      </Terms>
    </TaxKeywordTaxHTField>
    <Audience xmlns="9e485c73-6d97-44ad-be46-a771a3bf554d">PCS</Audience>
    <Category xmlns="56929206-870e-4a6f-a229-923d8c4e1fc9">TB</Category>
    <Speech_x0020__x0026__x0020_Hearing_x0020_sub_x002d_category xmlns="9e485c73-6d97-44ad-be46-a771a3bf554d" xsi:nil="true"/>
    <_dlc_DocId xmlns="dba358f0-9990-495c-8af8-fa9baed2c8ad">2S24QMQRMMTR-38-3132</_dlc_DocId>
    <_dlc_DocIdUrl xmlns="dba358f0-9990-495c-8af8-fa9baed2c8ad">
      <Url>http://fairfaxnet.fairfaxcounty.gov/agencies/HD/pcs/_layouts/15/DocIdRedir.aspx?ID=2S24QMQRMMTR-38-3132</Url>
      <Description>2S24QMQRMMTR-38-3132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385A6E1EBD9B045BFEDAED642CB8055" ma:contentTypeVersion="13" ma:contentTypeDescription="Create a new document." ma:contentTypeScope="" ma:versionID="d5c2be559fb61d5a5d086278e81ccd1a">
  <xsd:schema xmlns:xsd="http://www.w3.org/2001/XMLSchema" xmlns:xs="http://www.w3.org/2001/XMLSchema" xmlns:p="http://schemas.microsoft.com/office/2006/metadata/properties" xmlns:ns2="9e485c73-6d97-44ad-be46-a771a3bf554d" xmlns:ns3="56929206-870e-4a6f-a229-923d8c4e1fc9" xmlns:ns4="1bbbabad-0fab-4688-bc3c-b10b86659f04" xmlns:ns5="dba358f0-9990-495c-8af8-fa9baed2c8ad" targetNamespace="http://schemas.microsoft.com/office/2006/metadata/properties" ma:root="true" ma:fieldsID="db88c2c18975b81606859599c4af2eb7" ns2:_="" ns3:_="" ns4:_="" ns5:_="">
    <xsd:import namespace="9e485c73-6d97-44ad-be46-a771a3bf554d"/>
    <xsd:import namespace="56929206-870e-4a6f-a229-923d8c4e1fc9"/>
    <xsd:import namespace="1bbbabad-0fab-4688-bc3c-b10b86659f04"/>
    <xsd:import namespace="dba358f0-9990-495c-8af8-fa9baed2c8ad"/>
    <xsd:element name="properties">
      <xsd:complexType>
        <xsd:sequence>
          <xsd:element name="documentManagement">
            <xsd:complexType>
              <xsd:all>
                <xsd:element ref="ns2:Description0"/>
                <xsd:element ref="ns2:Audience"/>
                <xsd:element ref="ns3:Category"/>
                <xsd:element ref="ns4:TaxKeywordTaxHTField" minOccurs="0"/>
                <xsd:element ref="ns5:TaxCatchAll" minOccurs="0"/>
                <xsd:element ref="ns2:Number"/>
                <xsd:element ref="ns2:Speech_x0020__x0026__x0020_Hearing_x0020_sub_x002d_categor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85c73-6d97-44ad-be46-a771a3bf554d" elementFormDefault="qualified">
    <xsd:import namespace="http://schemas.microsoft.com/office/2006/documentManagement/types"/>
    <xsd:import namespace="http://schemas.microsoft.com/office/infopath/2007/PartnerControls"/>
    <xsd:element name="Description0" ma:index="2" ma:displayName="Form Type" ma:default="Form" ma:format="Dropdown" ma:internalName="Description0">
      <xsd:simpleType>
        <xsd:restriction base="dms:Choice">
          <xsd:enumeration value="Form"/>
          <xsd:enumeration value="Program Docs/Misc."/>
          <xsd:enumeration value="Admin Process Manual"/>
          <xsd:enumeration value="Nursing Procedure"/>
          <xsd:enumeration value="Standing Order"/>
        </xsd:restriction>
      </xsd:simpleType>
    </xsd:element>
    <xsd:element name="Audience" ma:index="3" ma:displayName="Audience" ma:default="PCS" ma:format="Dropdown" ma:internalName="Audience">
      <xsd:simpleType>
        <xsd:restriction base="dms:Choice">
          <xsd:enumeration value="PCS"/>
          <xsd:enumeration value="PCS/Lab"/>
          <xsd:enumeration value="All Staff"/>
        </xsd:restriction>
      </xsd:simpleType>
    </xsd:element>
    <xsd:element name="Number" ma:index="14" ma:displayName="Number" ma:description="Enter &quot;1&quot; unless form's name is an HD form number. In that case, put numeric portion of form number." ma:internalName="Number" ma:percentage="FALSE">
      <xsd:simpleType>
        <xsd:restriction base="dms:Number"/>
      </xsd:simpleType>
    </xsd:element>
    <xsd:element name="Speech_x0020__x0026__x0020_Hearing_x0020_sub_x002d_category" ma:index="15" nillable="true" ma:displayName="Sp.&amp;Hrg sub-category" ma:description="Speech &amp; Hearing Program's sub-category (ONLY for S&amp;H)" ma:format="Dropdown" ma:internalName="Speech_x0020__x0026__x0020_Hearing_x0020_sub_x002d_category">
      <xsd:simpleType>
        <xsd:restriction base="dms:Choice">
          <xsd:enumeration value="Administrative"/>
          <xsd:enumeration value="Staff Meeting Minutes"/>
          <xsd:enumeration value="Policies and Procedures"/>
          <xsd:enumeration value="Clinical Documentation"/>
          <xsd:enumeration value="Audiology Screening"/>
          <xsd:enumeration value="Audiology Evaluation"/>
          <xsd:enumeration value="Audiology Reports"/>
          <xsd:enumeration value="Speech Screening"/>
          <xsd:enumeration value="Speech Evaluation"/>
          <xsd:enumeration value="Speech Reports"/>
          <xsd:enumeration value="Speech Treatment"/>
        </xsd:restriction>
      </xsd:simpleType>
    </xsd:element>
  </xsd:schema>
  <xsd:schema xmlns:xsd="http://www.w3.org/2001/XMLSchema" xmlns:xs="http://www.w3.org/2001/XMLSchema" xmlns:dms="http://schemas.microsoft.com/office/2006/documentManagement/types" xmlns:pc="http://schemas.microsoft.com/office/infopath/2007/PartnerControls" targetNamespace="56929206-870e-4a6f-a229-923d8c4e1fc9" elementFormDefault="qualified">
    <xsd:import namespace="http://schemas.microsoft.com/office/2006/documentManagement/types"/>
    <xsd:import namespace="http://schemas.microsoft.com/office/infopath/2007/PartnerControls"/>
    <xsd:element name="Category" ma:index="4" ma:displayName="Category" ma:description="To describe the program or topic area to which the form relates" ma:format="Dropdown" ma:internalName="Category">
      <xsd:simpleType>
        <xsd:restriction base="dms:Choice">
          <xsd:enumeration value="ADAP"/>
          <xsd:enumeration value="ADHC"/>
          <xsd:enumeration value="ADHC Annual Record Review"/>
          <xsd:enumeration value="ADHC - For Licensing"/>
          <xsd:enumeration value="ADHC - Misc. Forms"/>
          <xsd:enumeration value="Appointment Scheduling Process"/>
          <xsd:enumeration value="AVATAR"/>
          <xsd:enumeration value="AVATAR-APM"/>
          <xsd:enumeration value="CD"/>
          <xsd:enumeration value="CHCN"/>
          <xsd:enumeration value="Check-In Process"/>
          <xsd:enumeration value="Check-Out Process"/>
          <xsd:enumeration value="COD"/>
          <xsd:enumeration value="Combination Vaccines"/>
          <xsd:enumeration value="Communications"/>
          <xsd:enumeration value="CRS"/>
          <xsd:enumeration value="Dental"/>
          <xsd:enumeration value="Eye"/>
          <xsd:enumeration value="Facility Management Processes"/>
          <xsd:enumeration value="FAW"/>
          <xsd:enumeration value="Financial Management"/>
          <xsd:enumeration value="General"/>
          <xsd:enumeration value="Hepatitis C"/>
          <xsd:enumeration value="HFF"/>
          <xsd:enumeration value="HIPAA"/>
          <xsd:enumeration value="Homeless Medical Services"/>
          <xsd:enumeration value="HRDO MVDO S &amp; H"/>
          <xsd:enumeration value="Human Resources Forms - PCS"/>
          <xsd:enumeration value="Immune Globulin"/>
          <xsd:enumeration value="Immunizations"/>
          <xsd:enumeration value="Infection Prevention &amp; Control"/>
          <xsd:enumeration value="International Travel Vaccines"/>
          <xsd:enumeration value="Kelly Square Processes"/>
          <xsd:enumeration value="Lab"/>
          <xsd:enumeration value="Liaison"/>
          <xsd:enumeration value="Long Term Care"/>
          <xsd:enumeration value="Manual Mode"/>
          <xsd:enumeration value="Maternity"/>
          <xsd:enumeration value="NOD Cart"/>
          <xsd:enumeration value="Nurse-Family Partnership"/>
          <xsd:enumeration value="Nursing Council"/>
          <xsd:enumeration value="Orientation"/>
          <xsd:enumeration value="PCPT"/>
          <xsd:enumeration value="PCS - Administration"/>
          <xsd:enumeration value="Pediatrics"/>
          <xsd:enumeration value="Pharmacy"/>
          <xsd:enumeration value="Physician Schedules"/>
          <xsd:enumeration value="Program Standards"/>
          <xsd:enumeration value="Record Management Processes"/>
          <xsd:enumeration value="Refugee"/>
          <xsd:enumeration value="Routine Childhood and Adult Vaccinations"/>
          <xsd:enumeration value="Shelters"/>
          <xsd:enumeration value="Speech and Hearing"/>
          <xsd:enumeration value="STD"/>
          <xsd:enumeration value="Technology"/>
          <xsd:enumeration value="Temporary Guidance"/>
          <xsd:enumeration value="TB"/>
          <xsd:enumeration value="TB-Xray-Letter"/>
          <xsd:enumeration value="Treatment Entry Process"/>
          <xsd:enumeration value="Vital Records Process"/>
          <xsd:enumeration value="X-Ray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1bbbabad-0fab-4688-bc3c-b10b86659f0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a358f0-9990-495c-8af8-fa9baed2c8a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f094f41-ef3d-4d19-a2f0-a8a808a98f44}" ma:internalName="TaxCatchAll" ma:showField="CatchAllData" ma:web="dba358f0-9990-495c-8af8-fa9baed2c8ad">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435D19-5FE9-4B69-8E2E-F0AA10FCF60F}">
  <ds:schemaRefs>
    <ds:schemaRef ds:uri="http://schemas.microsoft.com/sharepoint/events"/>
  </ds:schemaRefs>
</ds:datastoreItem>
</file>

<file path=customXml/itemProps2.xml><?xml version="1.0" encoding="utf-8"?>
<ds:datastoreItem xmlns:ds="http://schemas.openxmlformats.org/officeDocument/2006/customXml" ds:itemID="{E127CF9E-BA75-4ECD-A04E-F5574F5DD5B9}">
  <ds:schemaRefs>
    <ds:schemaRef ds:uri="http://schemas.microsoft.com/sharepoint/v3/contenttype/forms"/>
  </ds:schemaRefs>
</ds:datastoreItem>
</file>

<file path=customXml/itemProps3.xml><?xml version="1.0" encoding="utf-8"?>
<ds:datastoreItem xmlns:ds="http://schemas.openxmlformats.org/officeDocument/2006/customXml" ds:itemID="{FF870919-4BFA-4B06-A84F-92B3B633FAFF}">
  <ds:schemaRefs>
    <ds:schemaRef ds:uri="http://schemas.microsoft.com/office/2006/metadata/properties"/>
    <ds:schemaRef ds:uri="http://schemas.microsoft.com/office/infopath/2007/PartnerControls"/>
    <ds:schemaRef ds:uri="9e485c73-6d97-44ad-be46-a771a3bf554d"/>
    <ds:schemaRef ds:uri="dba358f0-9990-495c-8af8-fa9baed2c8ad"/>
    <ds:schemaRef ds:uri="1bbbabad-0fab-4688-bc3c-b10b86659f04"/>
    <ds:schemaRef ds:uri="56929206-870e-4a6f-a229-923d8c4e1fc9"/>
  </ds:schemaRefs>
</ds:datastoreItem>
</file>

<file path=customXml/itemProps4.xml><?xml version="1.0" encoding="utf-8"?>
<ds:datastoreItem xmlns:ds="http://schemas.openxmlformats.org/officeDocument/2006/customXml" ds:itemID="{22D17C8E-4230-4167-87DD-B2787535B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85c73-6d97-44ad-be46-a771a3bf554d"/>
    <ds:schemaRef ds:uri="56929206-870e-4a6f-a229-923d8c4e1fc9"/>
    <ds:schemaRef ds:uri="1bbbabad-0fab-4688-bc3c-b10b86659f04"/>
    <ds:schemaRef ds:uri="dba358f0-9990-495c-8af8-fa9baed2c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Provider INH Guidance Fact Sheet</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INH Guidance Fact Sheet</dc:title>
  <dc:creator>California Tuberculosis Control Branch</dc:creator>
  <cp:keywords>INH; LTBI; Provider</cp:keywords>
  <cp:lastModifiedBy>Pearce, Allyson</cp:lastModifiedBy>
  <cp:revision>2</cp:revision>
  <dcterms:created xsi:type="dcterms:W3CDTF">2019-10-22T14:50:00Z</dcterms:created>
  <dcterms:modified xsi:type="dcterms:W3CDTF">2019-10-22T14:50:00Z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2016</vt:lpwstr>
  </property>
  <property fmtid="{D5CDD505-2E9C-101B-9397-08002B2CF9AE}" pid="4" name="LastSaved">
    <vt:filetime>2019-07-15T00:00:00Z</vt:filetime>
  </property>
  <property fmtid="{D5CDD505-2E9C-101B-9397-08002B2CF9AE}" pid="5" name="ContentTypeId">
    <vt:lpwstr>0x0101001385A6E1EBD9B045BFEDAED642CB8055</vt:lpwstr>
  </property>
  <property fmtid="{D5CDD505-2E9C-101B-9397-08002B2CF9AE}" pid="6" name="_dlc_DocIdItemGuid">
    <vt:lpwstr>163e71f7-4ea1-48fa-bb6e-c78aa5a288dc</vt:lpwstr>
  </property>
  <property fmtid="{D5CDD505-2E9C-101B-9397-08002B2CF9AE}" pid="7" name="TaxKeyword">
    <vt:lpwstr>550;#LTBI|be04c8ef-5c38-4ac7-94b7-e62bce940174;#549;#INH|cf17bcca-c29c-47d4-a440-b601fa7c2d45;#1667;#Provider|c66ea1c4-bbf8-4a41-9101-9a45a6d2d929</vt:lpwstr>
  </property>
</Properties>
</file>