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ACDF" w14:textId="77777777" w:rsidR="008A0AD7" w:rsidRDefault="008A0AD7" w:rsidP="00390690">
      <w:pPr>
        <w:spacing w:after="0" w:line="240" w:lineRule="auto"/>
        <w:ind w:right="-630"/>
        <w:rPr>
          <w:rFonts w:ascii="Arial" w:hAnsi="Arial" w:cs="Arial"/>
          <w:i/>
          <w:sz w:val="20"/>
          <w:szCs w:val="20"/>
        </w:rPr>
      </w:pPr>
      <w:r>
        <w:rPr>
          <w:rFonts w:ascii="Arial" w:hAnsi="Arial" w:cs="Arial"/>
          <w:i/>
          <w:sz w:val="20"/>
          <w:szCs w:val="20"/>
        </w:rPr>
        <w:t xml:space="preserve">This is a general list of key terms and definitions commonly referenced during the CoC Program Competition. </w:t>
      </w:r>
    </w:p>
    <w:p w14:paraId="39B5AB59" w14:textId="77777777" w:rsidR="007D489C" w:rsidRPr="007D489C" w:rsidRDefault="008A0AD7" w:rsidP="00390690">
      <w:pPr>
        <w:spacing w:after="0" w:line="240" w:lineRule="auto"/>
        <w:ind w:right="-630"/>
        <w:rPr>
          <w:rFonts w:ascii="Arial" w:hAnsi="Arial" w:cs="Arial"/>
          <w:i/>
          <w:sz w:val="20"/>
          <w:szCs w:val="20"/>
        </w:rPr>
      </w:pPr>
      <w:r>
        <w:rPr>
          <w:rFonts w:ascii="Arial" w:hAnsi="Arial" w:cs="Arial"/>
          <w:i/>
          <w:sz w:val="20"/>
          <w:szCs w:val="20"/>
        </w:rPr>
        <w:t xml:space="preserve">More information and additional definitions can be found </w:t>
      </w:r>
      <w:r w:rsidR="007D489C" w:rsidRPr="007D489C">
        <w:rPr>
          <w:rFonts w:ascii="Arial" w:hAnsi="Arial" w:cs="Arial"/>
          <w:i/>
          <w:sz w:val="20"/>
          <w:szCs w:val="20"/>
        </w:rPr>
        <w:t>at the following sources</w:t>
      </w:r>
      <w:r w:rsidR="00DB4E3A">
        <w:rPr>
          <w:rFonts w:ascii="Arial" w:hAnsi="Arial" w:cs="Arial"/>
          <w:i/>
          <w:sz w:val="20"/>
          <w:szCs w:val="20"/>
        </w:rPr>
        <w:t xml:space="preserve"> </w:t>
      </w:r>
      <w:r>
        <w:rPr>
          <w:rFonts w:ascii="Arial" w:hAnsi="Arial" w:cs="Arial"/>
          <w:i/>
          <w:sz w:val="20"/>
          <w:szCs w:val="20"/>
        </w:rPr>
        <w:t>below</w:t>
      </w:r>
      <w:r w:rsidR="007D489C" w:rsidRPr="007D489C">
        <w:rPr>
          <w:rFonts w:ascii="Arial" w:hAnsi="Arial" w:cs="Arial"/>
          <w:i/>
          <w:sz w:val="20"/>
          <w:szCs w:val="20"/>
        </w:rPr>
        <w:t>:</w:t>
      </w:r>
    </w:p>
    <w:p w14:paraId="097B41FD" w14:textId="77777777" w:rsidR="00390690" w:rsidRPr="00390690" w:rsidRDefault="00390690" w:rsidP="00390690">
      <w:pPr>
        <w:spacing w:after="0" w:line="240" w:lineRule="auto"/>
        <w:ind w:right="-630"/>
        <w:rPr>
          <w:rFonts w:ascii="Arial" w:hAnsi="Arial" w:cs="Arial"/>
        </w:rPr>
      </w:pPr>
      <w:r w:rsidRPr="00390690">
        <w:rPr>
          <w:rFonts w:ascii="Arial" w:hAnsi="Arial" w:cs="Arial"/>
          <w:sz w:val="20"/>
          <w:szCs w:val="20"/>
        </w:rPr>
        <w:t>CoC Program Interim Rule (</w:t>
      </w:r>
      <w:r w:rsidRPr="00390690">
        <w:rPr>
          <w:rStyle w:val="fontstyle01"/>
          <w:b w:val="0"/>
          <w:sz w:val="20"/>
          <w:szCs w:val="20"/>
        </w:rPr>
        <w:t>24 CFR Part 578)</w:t>
      </w:r>
      <w:r w:rsidRPr="00390690">
        <w:rPr>
          <w:rFonts w:ascii="Arial" w:hAnsi="Arial" w:cs="Arial"/>
        </w:rPr>
        <w:t xml:space="preserve"> </w:t>
      </w:r>
      <w:hyperlink r:id="rId7" w:history="1">
        <w:r w:rsidRPr="00390690">
          <w:rPr>
            <w:rStyle w:val="Hyperlink"/>
            <w:rFonts w:ascii="Arial" w:hAnsi="Arial" w:cs="Arial"/>
            <w:sz w:val="16"/>
            <w:szCs w:val="16"/>
          </w:rPr>
          <w:t>https://www.onecpd.info/resources/documents/CoCProgramInterimRule_FormattedVersion.pdf</w:t>
        </w:r>
      </w:hyperlink>
    </w:p>
    <w:p w14:paraId="589F336B" w14:textId="5F5C1374" w:rsidR="00390690" w:rsidRPr="00106BE6" w:rsidRDefault="008E5F85" w:rsidP="00106BE6">
      <w:pPr>
        <w:spacing w:after="0" w:line="240" w:lineRule="auto"/>
        <w:ind w:right="-630"/>
        <w:rPr>
          <w:rFonts w:ascii="Arial" w:hAnsi="Arial" w:cs="Arial"/>
          <w:sz w:val="16"/>
          <w:szCs w:val="16"/>
        </w:rPr>
      </w:pPr>
      <w:r>
        <w:rPr>
          <w:rFonts w:ascii="Arial" w:hAnsi="Arial" w:cs="Arial"/>
          <w:sz w:val="20"/>
          <w:szCs w:val="20"/>
        </w:rPr>
        <w:t>Notice of Funding Opportunity (</w:t>
      </w:r>
      <w:hyperlink r:id="rId8" w:history="1">
        <w:r w:rsidR="00106BE6" w:rsidRPr="008E5F85">
          <w:rPr>
            <w:rStyle w:val="Hyperlink"/>
            <w:rFonts w:ascii="Arial" w:hAnsi="Arial" w:cs="Arial"/>
            <w:sz w:val="20"/>
            <w:szCs w:val="20"/>
          </w:rPr>
          <w:t>NOF</w:t>
        </w:r>
        <w:r w:rsidRPr="008E5F85">
          <w:rPr>
            <w:rStyle w:val="Hyperlink"/>
            <w:rFonts w:ascii="Arial" w:hAnsi="Arial" w:cs="Arial"/>
            <w:sz w:val="20"/>
            <w:szCs w:val="20"/>
          </w:rPr>
          <w:t>O</w:t>
        </w:r>
      </w:hyperlink>
      <w:r>
        <w:rPr>
          <w:rFonts w:ascii="Arial" w:hAnsi="Arial" w:cs="Arial"/>
          <w:sz w:val="20"/>
          <w:szCs w:val="20"/>
        </w:rPr>
        <w:t>)</w:t>
      </w:r>
      <w:r w:rsidR="00106BE6" w:rsidRPr="00106BE6">
        <w:rPr>
          <w:rFonts w:ascii="Arial" w:hAnsi="Arial" w:cs="Arial"/>
          <w:sz w:val="20"/>
          <w:szCs w:val="20"/>
        </w:rPr>
        <w:t xml:space="preserve"> for FY</w:t>
      </w:r>
      <w:r>
        <w:rPr>
          <w:rFonts w:ascii="Arial" w:hAnsi="Arial" w:cs="Arial"/>
          <w:sz w:val="20"/>
          <w:szCs w:val="20"/>
        </w:rPr>
        <w:t>21</w:t>
      </w:r>
      <w:r w:rsidR="00106BE6" w:rsidRPr="00106BE6">
        <w:rPr>
          <w:rFonts w:ascii="Arial" w:hAnsi="Arial" w:cs="Arial"/>
          <w:sz w:val="20"/>
          <w:szCs w:val="20"/>
        </w:rPr>
        <w:t xml:space="preserve"> CoC Program Competition</w:t>
      </w:r>
      <w:r w:rsidR="00106BE6" w:rsidRPr="00106BE6">
        <w:rPr>
          <w:rFonts w:ascii="Arial" w:hAnsi="Arial" w:cs="Arial"/>
        </w:rPr>
        <w:t xml:space="preserve"> </w:t>
      </w:r>
    </w:p>
    <w:p w14:paraId="6E8465A9" w14:textId="77777777" w:rsidR="007D489C" w:rsidRPr="007D489C" w:rsidRDefault="007D489C" w:rsidP="003A7472">
      <w:pPr>
        <w:pStyle w:val="Default"/>
        <w:rPr>
          <w:sz w:val="16"/>
          <w:szCs w:val="16"/>
        </w:rPr>
      </w:pPr>
    </w:p>
    <w:tbl>
      <w:tblPr>
        <w:tblStyle w:val="TableGrid"/>
        <w:tblW w:w="10885"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867"/>
        <w:gridCol w:w="1018"/>
      </w:tblGrid>
      <w:tr w:rsidR="00DB4E3A" w:rsidRPr="00DB4E3A" w14:paraId="68429134" w14:textId="77777777" w:rsidTr="009C6315">
        <w:tc>
          <w:tcPr>
            <w:tcW w:w="9867" w:type="dxa"/>
            <w:shd w:val="clear" w:color="auto" w:fill="D9D9D9" w:themeFill="background1" w:themeFillShade="D9"/>
          </w:tcPr>
          <w:p w14:paraId="683D03C5" w14:textId="77777777" w:rsidR="009C6315" w:rsidRPr="00DB4E3A" w:rsidRDefault="009C6315" w:rsidP="009C6315">
            <w:pPr>
              <w:pStyle w:val="Default"/>
              <w:rPr>
                <w:b/>
                <w:bCs/>
                <w:i/>
                <w:iCs/>
                <w:color w:val="auto"/>
                <w:sz w:val="20"/>
                <w:szCs w:val="20"/>
              </w:rPr>
            </w:pPr>
            <w:r w:rsidRPr="00DB4E3A">
              <w:rPr>
                <w:b/>
                <w:bCs/>
                <w:i/>
                <w:iCs/>
                <w:color w:val="auto"/>
                <w:sz w:val="20"/>
                <w:szCs w:val="20"/>
              </w:rPr>
              <w:t>Definitions</w:t>
            </w:r>
          </w:p>
        </w:tc>
        <w:tc>
          <w:tcPr>
            <w:tcW w:w="1018" w:type="dxa"/>
            <w:shd w:val="clear" w:color="auto" w:fill="D9D9D9" w:themeFill="background1" w:themeFillShade="D9"/>
          </w:tcPr>
          <w:p w14:paraId="07C694AE" w14:textId="77777777" w:rsidR="009C6315" w:rsidRPr="00DB4E3A" w:rsidRDefault="009C6315" w:rsidP="00F24929">
            <w:pPr>
              <w:pStyle w:val="Default"/>
              <w:jc w:val="right"/>
              <w:rPr>
                <w:b/>
                <w:color w:val="auto"/>
                <w:sz w:val="20"/>
                <w:szCs w:val="20"/>
              </w:rPr>
            </w:pPr>
            <w:r w:rsidRPr="00DB4E3A">
              <w:rPr>
                <w:b/>
                <w:color w:val="auto"/>
                <w:sz w:val="20"/>
                <w:szCs w:val="20"/>
              </w:rPr>
              <w:t>Sources</w:t>
            </w:r>
          </w:p>
        </w:tc>
      </w:tr>
      <w:tr w:rsidR="00DB4E3A" w:rsidRPr="00DB4E3A" w14:paraId="4F3056CD" w14:textId="77777777" w:rsidTr="009C6315">
        <w:tc>
          <w:tcPr>
            <w:tcW w:w="9867" w:type="dxa"/>
          </w:tcPr>
          <w:p w14:paraId="5CC9685B" w14:textId="77777777" w:rsidR="003A7472" w:rsidRPr="00DB4E3A" w:rsidRDefault="003A7472" w:rsidP="009C6315">
            <w:pPr>
              <w:pStyle w:val="Default"/>
              <w:spacing w:before="60" w:after="60"/>
              <w:rPr>
                <w:b/>
                <w:bCs/>
                <w:i/>
                <w:iCs/>
                <w:color w:val="auto"/>
                <w:sz w:val="20"/>
                <w:szCs w:val="20"/>
              </w:rPr>
            </w:pPr>
            <w:r w:rsidRPr="00DB4E3A">
              <w:rPr>
                <w:b/>
                <w:bCs/>
                <w:i/>
                <w:iCs/>
                <w:color w:val="auto"/>
                <w:sz w:val="20"/>
                <w:szCs w:val="20"/>
              </w:rPr>
              <w:t xml:space="preserve">Annual </w:t>
            </w:r>
            <w:r w:rsidR="00D73CB0" w:rsidRPr="00DB4E3A">
              <w:rPr>
                <w:b/>
                <w:bCs/>
                <w:i/>
                <w:iCs/>
                <w:color w:val="auto"/>
                <w:sz w:val="20"/>
                <w:szCs w:val="20"/>
              </w:rPr>
              <w:t>R</w:t>
            </w:r>
            <w:r w:rsidRPr="00DB4E3A">
              <w:rPr>
                <w:b/>
                <w:bCs/>
                <w:i/>
                <w:iCs/>
                <w:color w:val="auto"/>
                <w:sz w:val="20"/>
                <w:szCs w:val="20"/>
              </w:rPr>
              <w:t xml:space="preserve">enewal </w:t>
            </w:r>
            <w:r w:rsidR="00D73CB0" w:rsidRPr="00DB4E3A">
              <w:rPr>
                <w:b/>
                <w:bCs/>
                <w:i/>
                <w:iCs/>
                <w:color w:val="auto"/>
                <w:sz w:val="20"/>
                <w:szCs w:val="20"/>
              </w:rPr>
              <w:t>A</w:t>
            </w:r>
            <w:r w:rsidRPr="00DB4E3A">
              <w:rPr>
                <w:b/>
                <w:bCs/>
                <w:i/>
                <w:iCs/>
                <w:color w:val="auto"/>
                <w:sz w:val="20"/>
                <w:szCs w:val="20"/>
              </w:rPr>
              <w:t xml:space="preserve">mount </w:t>
            </w:r>
            <w:r w:rsidRPr="00DB4E3A">
              <w:rPr>
                <w:color w:val="auto"/>
                <w:sz w:val="20"/>
                <w:szCs w:val="20"/>
              </w:rPr>
              <w:t>means the amount that a grant can be awarded on an annual basis when renewed. It includes funds only for those eligible activities (operating, supportive services, leasing, rental assistance, HMIS, and administration) that were funded in the original grant (or the original grant as amended), less the unrenewable activities (acquisition, new construction, rehabilitation, and any administrative costs related to these activities).</w:t>
            </w:r>
          </w:p>
        </w:tc>
        <w:tc>
          <w:tcPr>
            <w:tcW w:w="1018" w:type="dxa"/>
          </w:tcPr>
          <w:p w14:paraId="35B55D8D"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09D2B2AF" w14:textId="77777777" w:rsidR="006E6382" w:rsidRPr="00DB4E3A" w:rsidRDefault="006E6382" w:rsidP="00F24929">
            <w:pPr>
              <w:spacing w:before="60" w:after="60"/>
              <w:jc w:val="right"/>
              <w:rPr>
                <w:rFonts w:ascii="Arial" w:hAnsi="Arial" w:cs="Arial"/>
                <w:sz w:val="12"/>
                <w:szCs w:val="12"/>
              </w:rPr>
            </w:pPr>
            <w:r w:rsidRPr="00DB4E3A">
              <w:rPr>
                <w:rFonts w:ascii="Arial" w:hAnsi="Arial" w:cs="Arial"/>
                <w:sz w:val="12"/>
                <w:szCs w:val="12"/>
              </w:rPr>
              <w:t>24 CFR 578.3</w:t>
            </w:r>
          </w:p>
          <w:p w14:paraId="731D897C" w14:textId="77777777" w:rsidR="006E6382" w:rsidRPr="00DB4E3A" w:rsidRDefault="003A7472" w:rsidP="00F24929">
            <w:pPr>
              <w:spacing w:before="60" w:after="60"/>
              <w:jc w:val="right"/>
              <w:rPr>
                <w:rFonts w:ascii="Arial" w:hAnsi="Arial" w:cs="Arial"/>
                <w:sz w:val="12"/>
                <w:szCs w:val="12"/>
              </w:rPr>
            </w:pPr>
            <w:r w:rsidRPr="00DB4E3A">
              <w:rPr>
                <w:rFonts w:ascii="Arial" w:hAnsi="Arial" w:cs="Arial"/>
                <w:sz w:val="12"/>
                <w:szCs w:val="12"/>
              </w:rPr>
              <w:t>PG 52</w:t>
            </w:r>
          </w:p>
        </w:tc>
      </w:tr>
      <w:tr w:rsidR="00DB4E3A" w:rsidRPr="00DB4E3A" w14:paraId="4B2A33CC" w14:textId="77777777" w:rsidTr="009C6315">
        <w:tc>
          <w:tcPr>
            <w:tcW w:w="9867" w:type="dxa"/>
          </w:tcPr>
          <w:p w14:paraId="0C7EE0F3" w14:textId="77777777" w:rsidR="00D73CB0" w:rsidRPr="00DB4E3A" w:rsidRDefault="00D73CB0" w:rsidP="009C6315">
            <w:pPr>
              <w:pStyle w:val="Default"/>
              <w:spacing w:before="60" w:after="60"/>
              <w:rPr>
                <w:color w:val="auto"/>
                <w:sz w:val="20"/>
                <w:szCs w:val="20"/>
              </w:rPr>
            </w:pPr>
            <w:r w:rsidRPr="00DB4E3A">
              <w:rPr>
                <w:b/>
                <w:bCs/>
                <w:i/>
                <w:iCs/>
                <w:color w:val="auto"/>
                <w:sz w:val="20"/>
                <w:szCs w:val="20"/>
              </w:rPr>
              <w:t xml:space="preserve">Annual Renewal Demand </w:t>
            </w:r>
            <w:r w:rsidRPr="00DB4E3A">
              <w:rPr>
                <w:color w:val="auto"/>
                <w:sz w:val="20"/>
                <w:szCs w:val="20"/>
              </w:rPr>
              <w:t xml:space="preserve">is the renewal demand determined by HUD within the Continuum‘s geographic area. Renewal demand is the sum of the annual renewal amounts of all projects within the Continuum eligible to apply for renewal in that fiscal year‘s competition, before any adjustments to rental assistance, leasing, and operating line items based on FMR changes. </w:t>
            </w:r>
          </w:p>
        </w:tc>
        <w:tc>
          <w:tcPr>
            <w:tcW w:w="1018" w:type="dxa"/>
          </w:tcPr>
          <w:p w14:paraId="7A888205"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61F0FF69"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75835A40" w14:textId="77777777" w:rsidR="00D73CB0" w:rsidRPr="00DB4E3A" w:rsidRDefault="00D73CB0" w:rsidP="00F24929">
            <w:pPr>
              <w:pStyle w:val="Default"/>
              <w:spacing w:before="60" w:after="60"/>
              <w:jc w:val="right"/>
              <w:rPr>
                <w:color w:val="auto"/>
                <w:sz w:val="12"/>
                <w:szCs w:val="12"/>
              </w:rPr>
            </w:pPr>
            <w:r w:rsidRPr="00DB4E3A">
              <w:rPr>
                <w:color w:val="auto"/>
                <w:sz w:val="12"/>
                <w:szCs w:val="12"/>
              </w:rPr>
              <w:t>PG 64</w:t>
            </w:r>
          </w:p>
        </w:tc>
      </w:tr>
      <w:tr w:rsidR="00DB4E3A" w:rsidRPr="00DB4E3A" w14:paraId="341B4C2C" w14:textId="77777777" w:rsidTr="009C6315">
        <w:tc>
          <w:tcPr>
            <w:tcW w:w="9867" w:type="dxa"/>
          </w:tcPr>
          <w:p w14:paraId="2D11FE57" w14:textId="77777777" w:rsidR="003A7472" w:rsidRPr="00DB4E3A" w:rsidRDefault="003A7472" w:rsidP="009C6315">
            <w:pPr>
              <w:pStyle w:val="Default"/>
              <w:spacing w:before="60" w:after="60"/>
              <w:rPr>
                <w:color w:val="auto"/>
                <w:sz w:val="20"/>
                <w:szCs w:val="20"/>
              </w:rPr>
            </w:pPr>
            <w:r w:rsidRPr="00DB4E3A">
              <w:rPr>
                <w:b/>
                <w:bCs/>
                <w:i/>
                <w:iCs/>
                <w:color w:val="auto"/>
                <w:sz w:val="20"/>
                <w:szCs w:val="20"/>
              </w:rPr>
              <w:t xml:space="preserve">Applicant </w:t>
            </w:r>
            <w:r w:rsidRPr="00DB4E3A">
              <w:rPr>
                <w:color w:val="auto"/>
                <w:sz w:val="20"/>
                <w:szCs w:val="20"/>
              </w:rPr>
              <w:t xml:space="preserve">means an eligible applicant that has been designated by the Continuum of Care to apply for assistance under this part on behalf of that Continuum. </w:t>
            </w:r>
          </w:p>
        </w:tc>
        <w:tc>
          <w:tcPr>
            <w:tcW w:w="1018" w:type="dxa"/>
          </w:tcPr>
          <w:p w14:paraId="2657124B"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7565940B"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54ED712A" w14:textId="77777777" w:rsidR="003A7472" w:rsidRPr="00DB4E3A" w:rsidRDefault="003A7472" w:rsidP="00F24929">
            <w:pPr>
              <w:pStyle w:val="Default"/>
              <w:spacing w:before="60" w:after="60"/>
              <w:jc w:val="right"/>
              <w:rPr>
                <w:color w:val="auto"/>
                <w:sz w:val="12"/>
                <w:szCs w:val="12"/>
              </w:rPr>
            </w:pPr>
            <w:r w:rsidRPr="00DB4E3A">
              <w:rPr>
                <w:color w:val="auto"/>
                <w:sz w:val="12"/>
                <w:szCs w:val="12"/>
              </w:rPr>
              <w:t>PG 52</w:t>
            </w:r>
          </w:p>
        </w:tc>
      </w:tr>
      <w:tr w:rsidR="00DB4E3A" w:rsidRPr="00DB4E3A" w14:paraId="45F50885" w14:textId="77777777" w:rsidTr="009C6315">
        <w:tc>
          <w:tcPr>
            <w:tcW w:w="9867" w:type="dxa"/>
          </w:tcPr>
          <w:p w14:paraId="16460DC0" w14:textId="5DDB3F6A" w:rsidR="00181CC0" w:rsidRPr="00DB4E3A" w:rsidRDefault="00696F4D" w:rsidP="009C6315">
            <w:pPr>
              <w:autoSpaceDE w:val="0"/>
              <w:autoSpaceDN w:val="0"/>
              <w:adjustRightInd w:val="0"/>
              <w:spacing w:before="60" w:after="60"/>
              <w:rPr>
                <w:rFonts w:ascii="Arial" w:hAnsi="Arial" w:cs="Arial"/>
                <w:sz w:val="20"/>
                <w:szCs w:val="20"/>
              </w:rPr>
            </w:pPr>
            <w:r w:rsidRPr="00DB4E3A">
              <w:rPr>
                <w:rFonts w:ascii="Arial" w:hAnsi="Arial" w:cs="Arial"/>
                <w:b/>
                <w:i/>
                <w:iCs/>
                <w:sz w:val="20"/>
                <w:szCs w:val="20"/>
              </w:rPr>
              <w:t>Bonus Project</w:t>
            </w:r>
            <w:r w:rsidR="000C7797" w:rsidRPr="00DB4E3A">
              <w:rPr>
                <w:rFonts w:ascii="Arial" w:hAnsi="Arial" w:cs="Arial"/>
                <w:b/>
                <w:i/>
                <w:iCs/>
                <w:sz w:val="20"/>
                <w:szCs w:val="20"/>
              </w:rPr>
              <w:t xml:space="preserve"> </w:t>
            </w:r>
            <w:r w:rsidR="008E5F85" w:rsidRPr="008E5F85">
              <w:rPr>
                <w:rFonts w:ascii="Arial" w:hAnsi="Arial" w:cs="Arial"/>
                <w:bCs/>
                <w:sz w:val="20"/>
                <w:szCs w:val="20"/>
              </w:rPr>
              <w:t>Collaborative Applicants may include new project applications of up to 5 percent of its CoC Final Pro Rata Need (FPRN). New projects created through the CoC Bonus must meet the project eligibility and project quality threshold requirements established by HUD in Sections V.C.3.b and c of this NOFO. To be eligible to receive a CoC Bonus project, a Collaborative Applicant must demonstrate its CoC ranks projects based on how they improve system performance as outlined in Section VII.B.2.b of this NOFO.</w:t>
            </w:r>
          </w:p>
        </w:tc>
        <w:tc>
          <w:tcPr>
            <w:tcW w:w="1018" w:type="dxa"/>
          </w:tcPr>
          <w:p w14:paraId="188A4975" w14:textId="6A53EC7B" w:rsidR="00181CC0" w:rsidRPr="00DB4E3A" w:rsidRDefault="00181CC0" w:rsidP="00F24929">
            <w:pPr>
              <w:pStyle w:val="Default"/>
              <w:spacing w:before="60" w:after="60"/>
              <w:jc w:val="right"/>
              <w:rPr>
                <w:color w:val="auto"/>
                <w:sz w:val="12"/>
                <w:szCs w:val="12"/>
              </w:rPr>
            </w:pPr>
            <w:r w:rsidRPr="00DB4E3A">
              <w:rPr>
                <w:color w:val="auto"/>
                <w:sz w:val="12"/>
                <w:szCs w:val="12"/>
              </w:rPr>
              <w:t>NOF</w:t>
            </w:r>
            <w:r w:rsidR="008E5F85">
              <w:rPr>
                <w:color w:val="auto"/>
                <w:sz w:val="12"/>
                <w:szCs w:val="12"/>
              </w:rPr>
              <w:t>O</w:t>
            </w:r>
            <w:r w:rsidRPr="00DB4E3A">
              <w:rPr>
                <w:color w:val="auto"/>
                <w:sz w:val="12"/>
                <w:szCs w:val="12"/>
              </w:rPr>
              <w:t>, CoC Program Competition</w:t>
            </w:r>
          </w:p>
          <w:p w14:paraId="0C30C4A8" w14:textId="6AEDD01D" w:rsidR="00181CC0" w:rsidRPr="00DB4E3A" w:rsidRDefault="00181CC0" w:rsidP="00F24929">
            <w:pPr>
              <w:pStyle w:val="Default"/>
              <w:spacing w:before="60" w:after="60"/>
              <w:jc w:val="right"/>
              <w:rPr>
                <w:color w:val="auto"/>
                <w:sz w:val="12"/>
                <w:szCs w:val="12"/>
              </w:rPr>
            </w:pPr>
            <w:r w:rsidRPr="00DB4E3A">
              <w:rPr>
                <w:color w:val="auto"/>
                <w:sz w:val="12"/>
                <w:szCs w:val="12"/>
              </w:rPr>
              <w:t xml:space="preserve">PG </w:t>
            </w:r>
            <w:r w:rsidR="008E5F85">
              <w:rPr>
                <w:color w:val="auto"/>
                <w:sz w:val="12"/>
                <w:szCs w:val="12"/>
              </w:rPr>
              <w:t>20</w:t>
            </w:r>
          </w:p>
        </w:tc>
      </w:tr>
      <w:tr w:rsidR="00DB4E3A" w:rsidRPr="00DB4E3A" w14:paraId="1B7011B3" w14:textId="77777777" w:rsidTr="009C6315">
        <w:tc>
          <w:tcPr>
            <w:tcW w:w="9867" w:type="dxa"/>
          </w:tcPr>
          <w:p w14:paraId="6454A597" w14:textId="625DF99C" w:rsidR="00C804AA" w:rsidRPr="00DB4E3A" w:rsidRDefault="00C804AA" w:rsidP="009C6315">
            <w:pPr>
              <w:spacing w:before="60" w:after="60"/>
              <w:rPr>
                <w:rFonts w:ascii="Arial" w:hAnsi="Arial" w:cs="Arial"/>
                <w:b/>
                <w:bCs/>
                <w:i/>
                <w:iCs/>
                <w:sz w:val="20"/>
                <w:szCs w:val="20"/>
              </w:rPr>
            </w:pPr>
            <w:r w:rsidRPr="00DB4E3A">
              <w:rPr>
                <w:rFonts w:ascii="Arial" w:hAnsi="Arial" w:cs="Arial"/>
                <w:b/>
                <w:i/>
                <w:sz w:val="20"/>
                <w:szCs w:val="20"/>
              </w:rPr>
              <w:t>CoC Program Competition</w:t>
            </w:r>
            <w:r w:rsidRPr="00DB4E3A">
              <w:rPr>
                <w:rFonts w:ascii="Arial" w:hAnsi="Arial" w:cs="Arial"/>
                <w:sz w:val="20"/>
                <w:szCs w:val="20"/>
              </w:rPr>
              <w:t xml:space="preserve"> </w:t>
            </w:r>
            <w:r w:rsidR="00C40612" w:rsidRPr="00C40612">
              <w:rPr>
                <w:rFonts w:ascii="Arial" w:hAnsi="Arial" w:cs="Arial"/>
                <w:color w:val="333333"/>
                <w:sz w:val="20"/>
                <w:szCs w:val="20"/>
                <w:shd w:val="clear" w:color="auto" w:fill="FFFFFF"/>
              </w:rPr>
              <w:t>The CoC Program is designed to promote a community-wide commitment to the goal of ending homelessness; to provide funding for efforts by nonprofit providers, States, and local governments to quickly re-house homeless individuals, families, persons fleeing domestic violence, and youth while minimizing the trauma and dislocation caused by homelessness; to promote access to and effective utilization of mainstream programs by homeless individuals and families; and to optimize self-sufficiency among those experiencing homelessness.</w:t>
            </w:r>
          </w:p>
        </w:tc>
        <w:tc>
          <w:tcPr>
            <w:tcW w:w="1018" w:type="dxa"/>
          </w:tcPr>
          <w:p w14:paraId="1E617271"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HUD Exchange Website</w:t>
            </w:r>
          </w:p>
        </w:tc>
      </w:tr>
      <w:tr w:rsidR="00DB4E3A" w:rsidRPr="00DB4E3A" w14:paraId="5B9CBA87" w14:textId="77777777" w:rsidTr="009C6315">
        <w:tc>
          <w:tcPr>
            <w:tcW w:w="9867" w:type="dxa"/>
          </w:tcPr>
          <w:p w14:paraId="3563BFCB" w14:textId="2AAF01CC" w:rsidR="00C804AA" w:rsidRPr="00DB4E3A" w:rsidRDefault="00C804AA" w:rsidP="009C6315">
            <w:pPr>
              <w:spacing w:before="60" w:after="60"/>
              <w:rPr>
                <w:rFonts w:ascii="Arial" w:hAnsi="Arial" w:cs="Arial"/>
                <w:sz w:val="20"/>
                <w:szCs w:val="20"/>
              </w:rPr>
            </w:pPr>
            <w:r w:rsidRPr="00DB4E3A">
              <w:rPr>
                <w:rFonts w:ascii="Arial" w:hAnsi="Arial" w:cs="Arial"/>
                <w:b/>
                <w:bCs/>
                <w:i/>
                <w:iCs/>
                <w:sz w:val="20"/>
                <w:szCs w:val="20"/>
              </w:rPr>
              <w:t xml:space="preserve">Collaborative Applicant </w:t>
            </w:r>
            <w:r w:rsidRPr="00DB4E3A">
              <w:rPr>
                <w:rFonts w:ascii="Arial" w:hAnsi="Arial" w:cs="Arial"/>
                <w:sz w:val="20"/>
                <w:szCs w:val="20"/>
              </w:rPr>
              <w:t>means the eligible applicant that has been designated by the Continuum of Care to apply for a grant for Continuum of Care planning funds under this part on behalf of the Continuum.</w:t>
            </w:r>
            <w:r w:rsidR="00F63EDC">
              <w:rPr>
                <w:rFonts w:ascii="Arial" w:hAnsi="Arial" w:cs="Arial"/>
                <w:sz w:val="20"/>
                <w:szCs w:val="20"/>
              </w:rPr>
              <w:t xml:space="preserve"> The Office to Prevent and End Homelessness is the CoC Lead and Collaborative Applicant for Fairfax County’s CoC (VA-601).</w:t>
            </w:r>
          </w:p>
        </w:tc>
        <w:tc>
          <w:tcPr>
            <w:tcW w:w="1018" w:type="dxa"/>
          </w:tcPr>
          <w:p w14:paraId="4EC19853"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73FD903A"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6192E65F"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PG 54</w:t>
            </w:r>
          </w:p>
        </w:tc>
      </w:tr>
      <w:tr w:rsidR="00DB4E3A" w:rsidRPr="00DB4E3A" w14:paraId="03E7CA12" w14:textId="77777777" w:rsidTr="009C6315">
        <w:tc>
          <w:tcPr>
            <w:tcW w:w="9867" w:type="dxa"/>
          </w:tcPr>
          <w:p w14:paraId="26ACBC17" w14:textId="77777777" w:rsidR="00C804AA" w:rsidRPr="00DB4E3A" w:rsidRDefault="00C804AA" w:rsidP="001B5446">
            <w:pPr>
              <w:spacing w:before="60" w:after="60"/>
              <w:rPr>
                <w:rFonts w:ascii="Arial" w:hAnsi="Arial" w:cs="Arial"/>
                <w:b/>
                <w:bCs/>
                <w:i/>
                <w:iCs/>
                <w:sz w:val="20"/>
                <w:szCs w:val="20"/>
              </w:rPr>
            </w:pPr>
            <w:r w:rsidRPr="00DB4E3A">
              <w:rPr>
                <w:rFonts w:ascii="Arial" w:hAnsi="Arial" w:cs="Arial"/>
                <w:b/>
                <w:bCs/>
                <w:i/>
                <w:iCs/>
                <w:sz w:val="20"/>
                <w:szCs w:val="20"/>
              </w:rPr>
              <w:t xml:space="preserve">Continuum of Care </w:t>
            </w:r>
            <w:r w:rsidRPr="00DB4E3A">
              <w:rPr>
                <w:rFonts w:ascii="Arial" w:hAnsi="Arial" w:cs="Arial"/>
                <w:i/>
                <w:iCs/>
                <w:sz w:val="20"/>
                <w:szCs w:val="20"/>
              </w:rPr>
              <w:t xml:space="preserve">and </w:t>
            </w:r>
            <w:r w:rsidR="001B5446" w:rsidRPr="00DB4E3A">
              <w:rPr>
                <w:rFonts w:ascii="Arial" w:hAnsi="Arial" w:cs="Arial"/>
                <w:b/>
                <w:bCs/>
                <w:i/>
                <w:iCs/>
                <w:sz w:val="20"/>
                <w:szCs w:val="20"/>
              </w:rPr>
              <w:t xml:space="preserve">Continuum </w:t>
            </w:r>
            <w:r w:rsidR="001B5446" w:rsidRPr="00DB4E3A">
              <w:rPr>
                <w:rFonts w:ascii="Arial" w:hAnsi="Arial" w:cs="Arial"/>
                <w:bCs/>
                <w:iCs/>
                <w:sz w:val="20"/>
                <w:szCs w:val="20"/>
              </w:rPr>
              <w:t>is a</w:t>
            </w:r>
            <w:r w:rsidR="001B5446" w:rsidRPr="00DB4E3A">
              <w:rPr>
                <w:rFonts w:ascii="Arial" w:eastAsiaTheme="minorEastAsia" w:hAnsi="Arial" w:cs="Arial"/>
                <w:sz w:val="20"/>
                <w:szCs w:val="20"/>
              </w:rPr>
              <w:t xml:space="preserve"> regional or local planning body that coordinates housing programs and services, and funding for individuals and families experiencing homelessness. In the Fairfax CoC, the Lead Manager of the CoC program is a staff person in the Office to Prevent and End Homelessness. A continuum is </w:t>
            </w:r>
            <w:r w:rsidRPr="00DB4E3A">
              <w:rPr>
                <w:rFonts w:ascii="Arial" w:hAnsi="Arial" w:cs="Arial"/>
                <w:sz w:val="20"/>
                <w:szCs w:val="20"/>
              </w:rPr>
              <w:t>composed of representatives of organizations, including nonprofit homeless providers, victim service providers, faith-based organizations, governments, businesses, advocates, public housing agencies, school districts, social service providers, mental health agencies, hospitals, universities, affordable housing developers, law enforcement, organizations that serve homeless and formerly homeless veterans, and homeless and formerly homeless persons to the extent these groups are represented within the geographic area and are available to participate.</w:t>
            </w:r>
          </w:p>
        </w:tc>
        <w:tc>
          <w:tcPr>
            <w:tcW w:w="1018" w:type="dxa"/>
          </w:tcPr>
          <w:p w14:paraId="4BB8792C" w14:textId="77777777" w:rsidR="001B5446" w:rsidRPr="00DB4E3A" w:rsidRDefault="001B5446" w:rsidP="00F24929">
            <w:pPr>
              <w:pStyle w:val="Default"/>
              <w:spacing w:before="60" w:after="60"/>
              <w:jc w:val="right"/>
              <w:rPr>
                <w:color w:val="auto"/>
                <w:sz w:val="12"/>
                <w:szCs w:val="12"/>
              </w:rPr>
            </w:pPr>
            <w:r w:rsidRPr="00DB4E3A">
              <w:rPr>
                <w:color w:val="auto"/>
                <w:sz w:val="12"/>
                <w:szCs w:val="12"/>
              </w:rPr>
              <w:t xml:space="preserve">Coordinated Entry Manual </w:t>
            </w:r>
          </w:p>
          <w:p w14:paraId="7F0D7D60" w14:textId="77777777" w:rsidR="001B5446" w:rsidRPr="00DB4E3A" w:rsidRDefault="001B5446" w:rsidP="00F24929">
            <w:pPr>
              <w:pStyle w:val="Default"/>
              <w:spacing w:before="60" w:after="60"/>
              <w:jc w:val="right"/>
              <w:rPr>
                <w:i/>
                <w:color w:val="auto"/>
                <w:sz w:val="12"/>
                <w:szCs w:val="12"/>
              </w:rPr>
            </w:pPr>
            <w:r w:rsidRPr="00DB4E3A">
              <w:rPr>
                <w:i/>
                <w:color w:val="auto"/>
                <w:sz w:val="12"/>
                <w:szCs w:val="12"/>
              </w:rPr>
              <w:t>and</w:t>
            </w:r>
          </w:p>
          <w:p w14:paraId="438FB766"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7B7B90B4"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4E6B42A0"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PG 54</w:t>
            </w:r>
          </w:p>
        </w:tc>
      </w:tr>
      <w:tr w:rsidR="00DB4E3A" w:rsidRPr="00DB4E3A" w14:paraId="227EDE5A" w14:textId="77777777" w:rsidTr="009C6315">
        <w:tc>
          <w:tcPr>
            <w:tcW w:w="9867" w:type="dxa"/>
          </w:tcPr>
          <w:p w14:paraId="6E3FD520" w14:textId="77777777" w:rsidR="00181CC0" w:rsidRPr="00181CC0" w:rsidRDefault="00181CC0" w:rsidP="009C6315">
            <w:pPr>
              <w:autoSpaceDE w:val="0"/>
              <w:autoSpaceDN w:val="0"/>
              <w:adjustRightInd w:val="0"/>
              <w:spacing w:before="60" w:after="60"/>
              <w:rPr>
                <w:rFonts w:ascii="Arial" w:hAnsi="Arial" w:cs="Arial"/>
                <w:sz w:val="20"/>
                <w:szCs w:val="20"/>
              </w:rPr>
            </w:pPr>
            <w:proofErr w:type="spellStart"/>
            <w:r w:rsidRPr="00181CC0">
              <w:rPr>
                <w:rFonts w:ascii="Arial" w:hAnsi="Arial" w:cs="Arial"/>
                <w:b/>
                <w:i/>
                <w:iCs/>
                <w:sz w:val="20"/>
                <w:szCs w:val="20"/>
              </w:rPr>
              <w:t>DedicatedPLUS</w:t>
            </w:r>
            <w:proofErr w:type="spellEnd"/>
            <w:r w:rsidRPr="00181CC0">
              <w:rPr>
                <w:rFonts w:ascii="Arial" w:hAnsi="Arial" w:cs="Arial"/>
                <w:b/>
                <w:i/>
                <w:iCs/>
                <w:sz w:val="20"/>
                <w:szCs w:val="20"/>
              </w:rPr>
              <w:t xml:space="preserve"> project</w:t>
            </w:r>
            <w:r w:rsidRPr="00DB4E3A">
              <w:rPr>
                <w:rFonts w:ascii="Arial" w:hAnsi="Arial" w:cs="Arial"/>
                <w:b/>
                <w:i/>
                <w:iCs/>
                <w:sz w:val="20"/>
                <w:szCs w:val="20"/>
              </w:rPr>
              <w:t xml:space="preserve"> </w:t>
            </w:r>
            <w:r w:rsidRPr="00DB4E3A">
              <w:rPr>
                <w:rFonts w:ascii="Arial" w:hAnsi="Arial" w:cs="Arial"/>
                <w:iCs/>
                <w:sz w:val="20"/>
                <w:szCs w:val="20"/>
              </w:rPr>
              <w:t>a</w:t>
            </w:r>
            <w:r w:rsidRPr="00181CC0">
              <w:rPr>
                <w:rFonts w:ascii="Arial" w:hAnsi="Arial" w:cs="Arial"/>
                <w:sz w:val="20"/>
                <w:szCs w:val="20"/>
              </w:rPr>
              <w:t xml:space="preserve"> permanent supportive housing project where 100 percent of the beds are dedicated to serve individuals, households with children, and unaccompanied youth that at intake are: </w:t>
            </w:r>
          </w:p>
          <w:p w14:paraId="21E01C7F" w14:textId="77777777" w:rsidR="00FB4823" w:rsidRPr="00DB4E3A" w:rsidRDefault="00181CC0" w:rsidP="00FB4823">
            <w:pPr>
              <w:pStyle w:val="ListParagraph"/>
              <w:numPr>
                <w:ilvl w:val="0"/>
                <w:numId w:val="8"/>
              </w:numPr>
              <w:autoSpaceDE w:val="0"/>
              <w:autoSpaceDN w:val="0"/>
              <w:adjustRightInd w:val="0"/>
              <w:spacing w:before="60" w:after="60"/>
              <w:ind w:left="337"/>
              <w:rPr>
                <w:rFonts w:ascii="Arial" w:hAnsi="Arial" w:cs="Arial"/>
                <w:sz w:val="20"/>
                <w:szCs w:val="20"/>
              </w:rPr>
            </w:pPr>
            <w:r w:rsidRPr="00DB4E3A">
              <w:rPr>
                <w:rFonts w:ascii="Arial" w:hAnsi="Arial" w:cs="Arial"/>
                <w:sz w:val="20"/>
                <w:szCs w:val="20"/>
              </w:rPr>
              <w:t xml:space="preserve">experiencing chronic homelessness as defined in 24 CFR 578.3; </w:t>
            </w:r>
          </w:p>
          <w:p w14:paraId="2DB1EEF5" w14:textId="77777777" w:rsidR="00FB4823" w:rsidRPr="00DB4E3A" w:rsidRDefault="00181CC0" w:rsidP="00FB4823">
            <w:pPr>
              <w:pStyle w:val="ListParagraph"/>
              <w:numPr>
                <w:ilvl w:val="0"/>
                <w:numId w:val="8"/>
              </w:numPr>
              <w:autoSpaceDE w:val="0"/>
              <w:autoSpaceDN w:val="0"/>
              <w:adjustRightInd w:val="0"/>
              <w:spacing w:before="60" w:after="60"/>
              <w:ind w:left="337"/>
              <w:rPr>
                <w:rFonts w:ascii="Arial" w:hAnsi="Arial" w:cs="Arial"/>
                <w:sz w:val="20"/>
                <w:szCs w:val="20"/>
              </w:rPr>
            </w:pPr>
            <w:r w:rsidRPr="00DB4E3A">
              <w:rPr>
                <w:rFonts w:ascii="Arial" w:hAnsi="Arial" w:cs="Arial"/>
                <w:sz w:val="20"/>
                <w:szCs w:val="20"/>
              </w:rPr>
              <w:t>residing in a transitional housing project that will be eliminated and meets the definition of chronically</w:t>
            </w:r>
          </w:p>
          <w:p w14:paraId="1E28F709" w14:textId="77777777" w:rsidR="00181CC0" w:rsidRPr="00DB4E3A" w:rsidRDefault="00181CC0" w:rsidP="00FB4823">
            <w:pPr>
              <w:pStyle w:val="ListParagraph"/>
              <w:autoSpaceDE w:val="0"/>
              <w:autoSpaceDN w:val="0"/>
              <w:adjustRightInd w:val="0"/>
              <w:spacing w:before="60" w:after="60"/>
              <w:ind w:left="337"/>
              <w:rPr>
                <w:rFonts w:ascii="Arial" w:hAnsi="Arial" w:cs="Arial"/>
                <w:sz w:val="20"/>
                <w:szCs w:val="20"/>
              </w:rPr>
            </w:pPr>
            <w:r w:rsidRPr="00DB4E3A">
              <w:rPr>
                <w:rFonts w:ascii="Arial" w:hAnsi="Arial" w:cs="Arial"/>
                <w:sz w:val="20"/>
                <w:szCs w:val="20"/>
              </w:rPr>
              <w:t xml:space="preserve"> homeless in effect at the time in which the individual or family entered the transitional housing project; </w:t>
            </w:r>
          </w:p>
          <w:p w14:paraId="2499D96E" w14:textId="77777777" w:rsidR="00181CC0" w:rsidRPr="00DB4E3A" w:rsidRDefault="00181CC0" w:rsidP="009C6315">
            <w:pPr>
              <w:pStyle w:val="ListParagraph"/>
              <w:numPr>
                <w:ilvl w:val="0"/>
                <w:numId w:val="8"/>
              </w:numPr>
              <w:autoSpaceDE w:val="0"/>
              <w:autoSpaceDN w:val="0"/>
              <w:adjustRightInd w:val="0"/>
              <w:spacing w:before="60" w:after="60"/>
              <w:ind w:left="337"/>
              <w:rPr>
                <w:rFonts w:ascii="Arial" w:hAnsi="Arial" w:cs="Arial"/>
                <w:sz w:val="20"/>
                <w:szCs w:val="20"/>
              </w:rPr>
            </w:pPr>
            <w:r w:rsidRPr="00DB4E3A">
              <w:rPr>
                <w:rFonts w:ascii="Arial" w:hAnsi="Arial" w:cs="Arial"/>
                <w:sz w:val="20"/>
                <w:szCs w:val="20"/>
              </w:rPr>
              <w:t xml:space="preserve">residing in a place not meant for human habitation, emergency shelter, or safe haven and had been admitted and enrolled in a permanent housing project within the last year but were unable to maintain a housing placement and met the definition of chronic homeless as defined by 24 CFR 578.3 prior to entering the project; </w:t>
            </w:r>
          </w:p>
          <w:p w14:paraId="3D371D8A" w14:textId="77777777" w:rsidR="00181CC0" w:rsidRPr="00DB4E3A" w:rsidRDefault="00181CC0" w:rsidP="009C6315">
            <w:pPr>
              <w:pStyle w:val="ListParagraph"/>
              <w:numPr>
                <w:ilvl w:val="0"/>
                <w:numId w:val="8"/>
              </w:numPr>
              <w:autoSpaceDE w:val="0"/>
              <w:autoSpaceDN w:val="0"/>
              <w:adjustRightInd w:val="0"/>
              <w:spacing w:before="60" w:after="60"/>
              <w:ind w:left="337"/>
              <w:rPr>
                <w:rFonts w:ascii="Arial" w:hAnsi="Arial" w:cs="Arial"/>
                <w:sz w:val="20"/>
                <w:szCs w:val="20"/>
              </w:rPr>
            </w:pPr>
            <w:r w:rsidRPr="00DB4E3A">
              <w:rPr>
                <w:rFonts w:ascii="Arial" w:hAnsi="Arial" w:cs="Arial"/>
                <w:sz w:val="20"/>
                <w:szCs w:val="20"/>
              </w:rPr>
              <w:lastRenderedPageBreak/>
              <w:t>residing in transitional housing funded by a Joint TH and PH-RRH component project and who were experiencing chronic homelessness as defined at 24 CFR 578.3 prior to entering the project;</w:t>
            </w:r>
          </w:p>
          <w:p w14:paraId="0675030A" w14:textId="77777777" w:rsidR="00181CC0" w:rsidRPr="00DB4E3A" w:rsidRDefault="00181CC0" w:rsidP="009C6315">
            <w:pPr>
              <w:pStyle w:val="ListParagraph"/>
              <w:numPr>
                <w:ilvl w:val="0"/>
                <w:numId w:val="8"/>
              </w:numPr>
              <w:autoSpaceDE w:val="0"/>
              <w:autoSpaceDN w:val="0"/>
              <w:adjustRightInd w:val="0"/>
              <w:spacing w:before="60" w:after="60"/>
              <w:ind w:left="337"/>
              <w:rPr>
                <w:rFonts w:ascii="Arial" w:hAnsi="Arial" w:cs="Arial"/>
                <w:sz w:val="20"/>
                <w:szCs w:val="20"/>
              </w:rPr>
            </w:pPr>
            <w:r w:rsidRPr="00DB4E3A">
              <w:rPr>
                <w:rFonts w:ascii="Arial" w:hAnsi="Arial" w:cs="Arial"/>
                <w:sz w:val="20"/>
                <w:szCs w:val="20"/>
              </w:rPr>
              <w:t xml:space="preserve">residing and has resided in a place not meant for human habitation, safe haven, or emergency shelter for at least 12 months in the last three years, but has not done so on four separate occasions and the individual or head of household meet the definition of ‘homeless individual with a disability’; or </w:t>
            </w:r>
          </w:p>
          <w:p w14:paraId="52024A2F" w14:textId="336D8836" w:rsidR="00181CC0" w:rsidRPr="00DB4E3A" w:rsidRDefault="00181CC0" w:rsidP="009C6315">
            <w:pPr>
              <w:pStyle w:val="ListParagraph"/>
              <w:numPr>
                <w:ilvl w:val="0"/>
                <w:numId w:val="8"/>
              </w:numPr>
              <w:autoSpaceDE w:val="0"/>
              <w:autoSpaceDN w:val="0"/>
              <w:adjustRightInd w:val="0"/>
              <w:spacing w:before="60" w:after="60"/>
              <w:ind w:left="331"/>
              <w:rPr>
                <w:rFonts w:ascii="Arial" w:hAnsi="Arial" w:cs="Arial"/>
                <w:sz w:val="20"/>
                <w:szCs w:val="20"/>
              </w:rPr>
            </w:pPr>
            <w:r w:rsidRPr="00DB4E3A">
              <w:rPr>
                <w:rFonts w:ascii="Arial" w:hAnsi="Arial" w:cs="Arial"/>
                <w:sz w:val="20"/>
                <w:szCs w:val="20"/>
              </w:rPr>
              <w:t>receiving assistance through a Department of Veterans Affairs</w:t>
            </w:r>
            <w:r w:rsidR="005F40C2">
              <w:rPr>
                <w:rFonts w:ascii="Arial" w:hAnsi="Arial" w:cs="Arial"/>
                <w:sz w:val="20"/>
                <w:szCs w:val="20"/>
              </w:rPr>
              <w:t xml:space="preserve"> </w:t>
            </w:r>
            <w:r w:rsidRPr="00DB4E3A">
              <w:rPr>
                <w:rFonts w:ascii="Arial" w:hAnsi="Arial" w:cs="Arial"/>
                <w:sz w:val="20"/>
                <w:szCs w:val="20"/>
              </w:rPr>
              <w:t>(VA)-funded homeless assistance program and met one of the above criteria at initial intake to the VA's homeless assistance system.</w:t>
            </w:r>
          </w:p>
        </w:tc>
        <w:tc>
          <w:tcPr>
            <w:tcW w:w="1018" w:type="dxa"/>
          </w:tcPr>
          <w:p w14:paraId="3CE4C5B7" w14:textId="0A1A1EE1" w:rsidR="00181CC0" w:rsidRPr="00DB4E3A" w:rsidRDefault="00181CC0" w:rsidP="00F24929">
            <w:pPr>
              <w:pStyle w:val="Default"/>
              <w:spacing w:before="60" w:after="60"/>
              <w:jc w:val="right"/>
              <w:rPr>
                <w:color w:val="auto"/>
                <w:sz w:val="12"/>
                <w:szCs w:val="12"/>
              </w:rPr>
            </w:pPr>
            <w:r w:rsidRPr="00DB4E3A">
              <w:rPr>
                <w:color w:val="auto"/>
                <w:sz w:val="12"/>
                <w:szCs w:val="12"/>
              </w:rPr>
              <w:lastRenderedPageBreak/>
              <w:t>NOF</w:t>
            </w:r>
            <w:r w:rsidR="003E160C">
              <w:rPr>
                <w:color w:val="auto"/>
                <w:sz w:val="12"/>
                <w:szCs w:val="12"/>
              </w:rPr>
              <w:t>O</w:t>
            </w:r>
            <w:r w:rsidRPr="00DB4E3A">
              <w:rPr>
                <w:color w:val="auto"/>
                <w:sz w:val="12"/>
                <w:szCs w:val="12"/>
              </w:rPr>
              <w:t>, CoC Program Competition</w:t>
            </w:r>
          </w:p>
          <w:p w14:paraId="2F81D2C0" w14:textId="4112144B" w:rsidR="00181CC0" w:rsidRPr="00DB4E3A" w:rsidRDefault="00181CC0" w:rsidP="00F24929">
            <w:pPr>
              <w:pStyle w:val="Default"/>
              <w:spacing w:before="60" w:after="60"/>
              <w:jc w:val="right"/>
              <w:rPr>
                <w:color w:val="auto"/>
                <w:sz w:val="12"/>
                <w:szCs w:val="12"/>
              </w:rPr>
            </w:pPr>
            <w:r w:rsidRPr="00DB4E3A">
              <w:rPr>
                <w:color w:val="auto"/>
                <w:sz w:val="12"/>
                <w:szCs w:val="12"/>
              </w:rPr>
              <w:t xml:space="preserve">PG </w:t>
            </w:r>
            <w:r w:rsidR="003E160C">
              <w:rPr>
                <w:color w:val="auto"/>
                <w:sz w:val="12"/>
                <w:szCs w:val="12"/>
              </w:rPr>
              <w:t>21</w:t>
            </w:r>
            <w:r w:rsidR="00C82B76" w:rsidRPr="00DB4E3A">
              <w:rPr>
                <w:color w:val="auto"/>
                <w:sz w:val="12"/>
                <w:szCs w:val="12"/>
              </w:rPr>
              <w:t xml:space="preserve"> </w:t>
            </w:r>
          </w:p>
        </w:tc>
      </w:tr>
      <w:tr w:rsidR="00DB4E3A" w:rsidRPr="00DB4E3A" w14:paraId="32CFFC40" w14:textId="77777777" w:rsidTr="00C40612">
        <w:trPr>
          <w:trHeight w:val="4283"/>
        </w:trPr>
        <w:tc>
          <w:tcPr>
            <w:tcW w:w="9867" w:type="dxa"/>
          </w:tcPr>
          <w:p w14:paraId="6F2F88B2" w14:textId="627CB081" w:rsidR="003E160C" w:rsidRDefault="006E6382" w:rsidP="00696F4D">
            <w:pPr>
              <w:autoSpaceDE w:val="0"/>
              <w:autoSpaceDN w:val="0"/>
              <w:adjustRightInd w:val="0"/>
              <w:spacing w:before="60"/>
              <w:rPr>
                <w:rFonts w:ascii="Arial" w:hAnsi="Arial" w:cs="Arial"/>
                <w:sz w:val="20"/>
                <w:szCs w:val="20"/>
              </w:rPr>
            </w:pPr>
            <w:r w:rsidRPr="006E6382">
              <w:rPr>
                <w:rFonts w:ascii="Arial" w:hAnsi="Arial" w:cs="Arial"/>
                <w:b/>
                <w:i/>
                <w:iCs/>
                <w:sz w:val="20"/>
                <w:szCs w:val="20"/>
              </w:rPr>
              <w:t>Domestic Violence (DV) Bonus</w:t>
            </w:r>
            <w:r w:rsidRPr="006E6382">
              <w:rPr>
                <w:rFonts w:ascii="Arial" w:hAnsi="Arial" w:cs="Arial"/>
                <w:i/>
                <w:iCs/>
                <w:sz w:val="20"/>
                <w:szCs w:val="20"/>
              </w:rPr>
              <w:t xml:space="preserve"> </w:t>
            </w:r>
            <w:r w:rsidR="003E160C" w:rsidRPr="003E160C">
              <w:rPr>
                <w:rFonts w:ascii="Arial" w:hAnsi="Arial" w:cs="Arial"/>
                <w:sz w:val="20"/>
                <w:szCs w:val="20"/>
              </w:rPr>
              <w:t>The Consolidated Appropriations Act, 2021 provides up to $52 million for “rapid re-housing projects and supportive service projects providing coordinated entry, and for eligible activities that the Secretary determines to be critical in order to assist survivors of domestic violence, dating violence, sexual assault, or stalking.” Additionally, up to $50 million is added to the amount from the Further Consolidated Appropriations Act, 2020 as HUD did not conduct an FY 2020 CoC Program Competition, but instead only awarded eligible renewal projects. Therefore, the total amount of DV Bonus funding is $102 million which will be used for new DV-specific project</w:t>
            </w:r>
            <w:r w:rsidR="003E160C" w:rsidRPr="003E160C">
              <w:rPr>
                <w:rFonts w:ascii="Arial" w:hAnsi="Arial" w:cs="Arial"/>
                <w:sz w:val="20"/>
                <w:szCs w:val="20"/>
              </w:rPr>
              <w:t xml:space="preserve"> </w:t>
            </w:r>
            <w:r w:rsidR="003E160C" w:rsidRPr="003E160C">
              <w:rPr>
                <w:rFonts w:ascii="Arial" w:hAnsi="Arial" w:cs="Arial"/>
                <w:sz w:val="20"/>
                <w:szCs w:val="20"/>
              </w:rPr>
              <w:t>applications where 100 percent of the participants are or will be survivors of domestic violence, dating violence, sexual assault, or stalking. See Section II.B.11.e of this NOFO for additional information.</w:t>
            </w:r>
          </w:p>
          <w:p w14:paraId="03AF5C58" w14:textId="19C6802A" w:rsidR="00C40612" w:rsidRDefault="00C40612" w:rsidP="00696F4D">
            <w:pPr>
              <w:autoSpaceDE w:val="0"/>
              <w:autoSpaceDN w:val="0"/>
              <w:adjustRightInd w:val="0"/>
              <w:spacing w:before="60"/>
              <w:rPr>
                <w:rFonts w:ascii="Arial" w:hAnsi="Arial" w:cs="Arial"/>
                <w:sz w:val="20"/>
                <w:szCs w:val="20"/>
              </w:rPr>
            </w:pPr>
            <w:r w:rsidRPr="00C40612">
              <w:rPr>
                <w:rFonts w:ascii="Arial" w:hAnsi="Arial" w:cs="Arial"/>
                <w:sz w:val="20"/>
                <w:szCs w:val="20"/>
              </w:rPr>
              <w:t xml:space="preserve">A CoC may apply for the following types of projects: </w:t>
            </w:r>
          </w:p>
          <w:p w14:paraId="4D3C9E48" w14:textId="77777777" w:rsidR="00C40612" w:rsidRDefault="00C40612" w:rsidP="00696F4D">
            <w:pPr>
              <w:autoSpaceDE w:val="0"/>
              <w:autoSpaceDN w:val="0"/>
              <w:adjustRightInd w:val="0"/>
              <w:spacing w:before="60"/>
              <w:rPr>
                <w:rFonts w:ascii="Arial" w:hAnsi="Arial" w:cs="Arial"/>
                <w:sz w:val="20"/>
                <w:szCs w:val="20"/>
              </w:rPr>
            </w:pPr>
            <w:r w:rsidRPr="00C40612">
              <w:rPr>
                <w:rFonts w:ascii="Arial" w:hAnsi="Arial" w:cs="Arial"/>
                <w:sz w:val="20"/>
                <w:szCs w:val="20"/>
              </w:rPr>
              <w:t>a. Rapid Re-housing (PH-RRH) projects that demonstrate trauma-informed, victim</w:t>
            </w:r>
            <w:r>
              <w:rPr>
                <w:rFonts w:ascii="Arial" w:hAnsi="Arial" w:cs="Arial"/>
                <w:sz w:val="20"/>
                <w:szCs w:val="20"/>
              </w:rPr>
              <w:t>-</w:t>
            </w:r>
            <w:r w:rsidRPr="00C40612">
              <w:rPr>
                <w:rFonts w:ascii="Arial" w:hAnsi="Arial" w:cs="Arial"/>
                <w:sz w:val="20"/>
                <w:szCs w:val="20"/>
              </w:rPr>
              <w:t xml:space="preserve">centered approaches. </w:t>
            </w:r>
          </w:p>
          <w:p w14:paraId="3B9E144B" w14:textId="3A1C346D" w:rsidR="00C40612" w:rsidRDefault="00C40612" w:rsidP="00C40612">
            <w:pPr>
              <w:autoSpaceDE w:val="0"/>
              <w:autoSpaceDN w:val="0"/>
              <w:adjustRightInd w:val="0"/>
              <w:spacing w:before="60"/>
              <w:ind w:left="258" w:hanging="258"/>
              <w:rPr>
                <w:rFonts w:ascii="Arial" w:hAnsi="Arial" w:cs="Arial"/>
                <w:sz w:val="20"/>
                <w:szCs w:val="20"/>
              </w:rPr>
            </w:pPr>
            <w:r w:rsidRPr="00C40612">
              <w:rPr>
                <w:rFonts w:ascii="Arial" w:hAnsi="Arial" w:cs="Arial"/>
                <w:sz w:val="20"/>
                <w:szCs w:val="20"/>
              </w:rPr>
              <w:t>b. Joint TH and PH-RRH component projects as defined in Section III.C.2.n of this NOF</w:t>
            </w:r>
            <w:r w:rsidR="008E5F85">
              <w:rPr>
                <w:rFonts w:ascii="Arial" w:hAnsi="Arial" w:cs="Arial"/>
                <w:sz w:val="20"/>
                <w:szCs w:val="20"/>
              </w:rPr>
              <w:t>O</w:t>
            </w:r>
            <w:r w:rsidRPr="00C40612">
              <w:rPr>
                <w:rFonts w:ascii="Arial" w:hAnsi="Arial" w:cs="Arial"/>
                <w:sz w:val="20"/>
                <w:szCs w:val="20"/>
              </w:rPr>
              <w:t xml:space="preserve"> that demonstrate trauma-informed, victim-centered approaches. </w:t>
            </w:r>
          </w:p>
          <w:p w14:paraId="3C994107" w14:textId="4E46083D" w:rsidR="006E6382" w:rsidRPr="00C40612" w:rsidRDefault="00C40612" w:rsidP="003E160C">
            <w:pPr>
              <w:autoSpaceDE w:val="0"/>
              <w:autoSpaceDN w:val="0"/>
              <w:adjustRightInd w:val="0"/>
              <w:spacing w:before="60" w:after="60"/>
              <w:ind w:left="260" w:hanging="274"/>
              <w:rPr>
                <w:rFonts w:ascii="Arial" w:hAnsi="Arial" w:cs="Arial"/>
                <w:i/>
                <w:iCs/>
                <w:sz w:val="20"/>
                <w:szCs w:val="20"/>
              </w:rPr>
            </w:pPr>
            <w:r w:rsidRPr="00C40612">
              <w:rPr>
                <w:rFonts w:ascii="Arial" w:hAnsi="Arial" w:cs="Arial"/>
                <w:sz w:val="20"/>
                <w:szCs w:val="20"/>
              </w:rPr>
              <w:t>c. SSO Projects for Coordinated Entry (SSO-CE) to implement policies, procedures, and practices that equip the CoC’s coordinated entry to better meet the needs of people experience homelessness who are survivors of domestic violence, dating violence, or stalking (e.g., to implement policies and procedures that are trauma-informed, client</w:t>
            </w:r>
            <w:r>
              <w:rPr>
                <w:rFonts w:ascii="Arial" w:hAnsi="Arial" w:cs="Arial"/>
                <w:sz w:val="20"/>
                <w:szCs w:val="20"/>
              </w:rPr>
              <w:t>-</w:t>
            </w:r>
            <w:r w:rsidRPr="00C40612">
              <w:rPr>
                <w:rFonts w:ascii="Arial" w:hAnsi="Arial" w:cs="Arial"/>
                <w:sz w:val="20"/>
                <w:szCs w:val="20"/>
              </w:rPr>
              <w:t>centered or to better coordinate referrals between the CoC’s coordinated entry and the victim service providers coordinated entry system where they are different).</w:t>
            </w:r>
          </w:p>
        </w:tc>
        <w:tc>
          <w:tcPr>
            <w:tcW w:w="1018" w:type="dxa"/>
          </w:tcPr>
          <w:p w14:paraId="5E6074B2" w14:textId="3EE15444" w:rsidR="00C60765" w:rsidRPr="00DB4E3A" w:rsidRDefault="00C60765" w:rsidP="00F24929">
            <w:pPr>
              <w:pStyle w:val="Default"/>
              <w:spacing w:before="60" w:after="60"/>
              <w:jc w:val="right"/>
              <w:rPr>
                <w:color w:val="auto"/>
                <w:sz w:val="12"/>
                <w:szCs w:val="12"/>
              </w:rPr>
            </w:pPr>
            <w:r w:rsidRPr="00DB4E3A">
              <w:rPr>
                <w:color w:val="auto"/>
                <w:sz w:val="12"/>
                <w:szCs w:val="12"/>
              </w:rPr>
              <w:t>NOF</w:t>
            </w:r>
            <w:r w:rsidR="003E160C">
              <w:rPr>
                <w:color w:val="auto"/>
                <w:sz w:val="12"/>
                <w:szCs w:val="12"/>
              </w:rPr>
              <w:t>O</w:t>
            </w:r>
            <w:r w:rsidR="00181CC0" w:rsidRPr="00DB4E3A">
              <w:rPr>
                <w:color w:val="auto"/>
                <w:sz w:val="12"/>
                <w:szCs w:val="12"/>
              </w:rPr>
              <w:t>, CoC Program Competition</w:t>
            </w:r>
          </w:p>
          <w:p w14:paraId="3569B19F" w14:textId="016E7423" w:rsidR="006E6382" w:rsidRPr="00DB4E3A" w:rsidRDefault="006E6382" w:rsidP="00F24929">
            <w:pPr>
              <w:pStyle w:val="Default"/>
              <w:spacing w:before="60" w:after="60"/>
              <w:jc w:val="right"/>
              <w:rPr>
                <w:color w:val="auto"/>
                <w:sz w:val="12"/>
                <w:szCs w:val="12"/>
              </w:rPr>
            </w:pPr>
            <w:r w:rsidRPr="00DB4E3A">
              <w:rPr>
                <w:color w:val="auto"/>
                <w:sz w:val="12"/>
                <w:szCs w:val="12"/>
              </w:rPr>
              <w:t xml:space="preserve">PG </w:t>
            </w:r>
            <w:r w:rsidR="003E160C">
              <w:rPr>
                <w:color w:val="auto"/>
                <w:sz w:val="12"/>
                <w:szCs w:val="12"/>
              </w:rPr>
              <w:t>11</w:t>
            </w:r>
          </w:p>
        </w:tc>
      </w:tr>
      <w:tr w:rsidR="00DB4E3A" w:rsidRPr="00DB4E3A" w14:paraId="39AC3768" w14:textId="77777777" w:rsidTr="009C6315">
        <w:tc>
          <w:tcPr>
            <w:tcW w:w="9867" w:type="dxa"/>
          </w:tcPr>
          <w:p w14:paraId="700CF4C5" w14:textId="77777777" w:rsidR="00C804AA" w:rsidRPr="00DB4E3A" w:rsidRDefault="00C804AA" w:rsidP="00324B5B">
            <w:pPr>
              <w:spacing w:before="60" w:after="60"/>
              <w:rPr>
                <w:rFonts w:ascii="Arial" w:hAnsi="Arial" w:cs="Arial"/>
                <w:sz w:val="20"/>
                <w:szCs w:val="20"/>
              </w:rPr>
            </w:pPr>
            <w:r w:rsidRPr="00DB4E3A">
              <w:rPr>
                <w:rFonts w:ascii="Arial" w:hAnsi="Arial" w:cs="Arial"/>
                <w:b/>
                <w:bCs/>
                <w:i/>
                <w:iCs/>
                <w:sz w:val="20"/>
                <w:szCs w:val="20"/>
              </w:rPr>
              <w:t xml:space="preserve">Eligible Applicant </w:t>
            </w:r>
            <w:r w:rsidRPr="00DB4E3A">
              <w:rPr>
                <w:rFonts w:ascii="Arial" w:hAnsi="Arial" w:cs="Arial"/>
                <w:sz w:val="20"/>
                <w:szCs w:val="20"/>
              </w:rPr>
              <w:t>means a private nonprofit organization, State, local government, or instrumentality of State and local government.</w:t>
            </w:r>
          </w:p>
        </w:tc>
        <w:tc>
          <w:tcPr>
            <w:tcW w:w="1018" w:type="dxa"/>
          </w:tcPr>
          <w:p w14:paraId="3C171B62"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5D825524"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6C093E69"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PG 55</w:t>
            </w:r>
          </w:p>
        </w:tc>
      </w:tr>
      <w:tr w:rsidR="00DB4E3A" w:rsidRPr="00DB4E3A" w14:paraId="0FD9C4B1" w14:textId="77777777" w:rsidTr="009C6315">
        <w:tc>
          <w:tcPr>
            <w:tcW w:w="9867" w:type="dxa"/>
          </w:tcPr>
          <w:p w14:paraId="1ED674F6" w14:textId="5DE8EE26" w:rsidR="002F063D" w:rsidRPr="00DB4E3A" w:rsidRDefault="007B6C85" w:rsidP="00324B5B">
            <w:pPr>
              <w:spacing w:before="60" w:after="60"/>
              <w:rPr>
                <w:rFonts w:ascii="Arial" w:hAnsi="Arial" w:cs="Arial"/>
                <w:b/>
                <w:bCs/>
                <w:i/>
                <w:iCs/>
                <w:sz w:val="20"/>
                <w:szCs w:val="20"/>
              </w:rPr>
            </w:pPr>
            <w:r w:rsidRPr="00DB4E3A">
              <w:rPr>
                <w:rFonts w:ascii="Arial" w:hAnsi="Arial" w:cs="Arial"/>
                <w:b/>
                <w:i/>
                <w:iCs/>
                <w:sz w:val="20"/>
                <w:szCs w:val="20"/>
              </w:rPr>
              <w:t>Eligible Renewal Project</w:t>
            </w:r>
            <w:r w:rsidR="002F063D" w:rsidRPr="002F063D">
              <w:rPr>
                <w:rFonts w:ascii="Arial" w:hAnsi="Arial" w:cs="Arial"/>
                <w:i/>
                <w:iCs/>
                <w:sz w:val="20"/>
                <w:szCs w:val="20"/>
              </w:rPr>
              <w:t xml:space="preserve"> </w:t>
            </w:r>
            <w:r w:rsidR="003E160C">
              <w:rPr>
                <w:rFonts w:ascii="Arial" w:hAnsi="Arial" w:cs="Arial"/>
                <w:sz w:val="20"/>
                <w:szCs w:val="20"/>
              </w:rPr>
              <w:t>is a</w:t>
            </w:r>
            <w:r w:rsidR="003E160C" w:rsidRPr="003E160C">
              <w:rPr>
                <w:rFonts w:ascii="Arial" w:hAnsi="Arial" w:cs="Arial"/>
                <w:sz w:val="20"/>
                <w:szCs w:val="20"/>
              </w:rPr>
              <w:t xml:space="preserve"> project that will be under grant agreement by December 31, </w:t>
            </w:r>
            <w:proofErr w:type="gramStart"/>
            <w:r w:rsidR="003E160C" w:rsidRPr="003E160C">
              <w:rPr>
                <w:rFonts w:ascii="Arial" w:hAnsi="Arial" w:cs="Arial"/>
                <w:sz w:val="20"/>
                <w:szCs w:val="20"/>
              </w:rPr>
              <w:t>2021</w:t>
            </w:r>
            <w:proofErr w:type="gramEnd"/>
            <w:r w:rsidR="003E160C" w:rsidRPr="003E160C">
              <w:rPr>
                <w:rFonts w:ascii="Arial" w:hAnsi="Arial" w:cs="Arial"/>
                <w:sz w:val="20"/>
                <w:szCs w:val="20"/>
              </w:rPr>
              <w:t xml:space="preserve"> and will have an expiration date in CY 2022</w:t>
            </w:r>
            <w:r w:rsidR="003E160C">
              <w:rPr>
                <w:rFonts w:ascii="Arial" w:hAnsi="Arial" w:cs="Arial"/>
                <w:sz w:val="20"/>
                <w:szCs w:val="20"/>
              </w:rPr>
              <w:t xml:space="preserve"> </w:t>
            </w:r>
            <w:r w:rsidR="003E160C" w:rsidRPr="003E160C">
              <w:rPr>
                <w:rFonts w:ascii="Arial" w:hAnsi="Arial" w:cs="Arial"/>
                <w:sz w:val="20"/>
                <w:szCs w:val="20"/>
              </w:rPr>
              <w:t>(between January 1, 2022, and December 31, 2022).</w:t>
            </w:r>
          </w:p>
        </w:tc>
        <w:tc>
          <w:tcPr>
            <w:tcW w:w="1018" w:type="dxa"/>
          </w:tcPr>
          <w:p w14:paraId="2451D597" w14:textId="46D52474" w:rsidR="002F063D" w:rsidRPr="00DB4E3A" w:rsidRDefault="002F063D" w:rsidP="00F24929">
            <w:pPr>
              <w:pStyle w:val="Default"/>
              <w:spacing w:before="60" w:after="60"/>
              <w:jc w:val="right"/>
              <w:rPr>
                <w:color w:val="auto"/>
                <w:sz w:val="12"/>
                <w:szCs w:val="12"/>
              </w:rPr>
            </w:pPr>
            <w:r w:rsidRPr="00DB4E3A">
              <w:rPr>
                <w:color w:val="auto"/>
                <w:sz w:val="12"/>
                <w:szCs w:val="12"/>
              </w:rPr>
              <w:t>NOF</w:t>
            </w:r>
            <w:r w:rsidR="003E160C">
              <w:rPr>
                <w:color w:val="auto"/>
                <w:sz w:val="12"/>
                <w:szCs w:val="12"/>
              </w:rPr>
              <w:t>O</w:t>
            </w:r>
            <w:r w:rsidRPr="00DB4E3A">
              <w:rPr>
                <w:color w:val="auto"/>
                <w:sz w:val="12"/>
                <w:szCs w:val="12"/>
              </w:rPr>
              <w:t>, CoC Program Competition</w:t>
            </w:r>
          </w:p>
          <w:p w14:paraId="727BBB9F" w14:textId="3A163BCB" w:rsidR="002F063D" w:rsidRPr="00DB4E3A" w:rsidRDefault="002F063D" w:rsidP="00F24929">
            <w:pPr>
              <w:pStyle w:val="Default"/>
              <w:spacing w:before="60" w:after="60"/>
              <w:jc w:val="right"/>
              <w:rPr>
                <w:color w:val="auto"/>
                <w:sz w:val="12"/>
                <w:szCs w:val="12"/>
              </w:rPr>
            </w:pPr>
            <w:r w:rsidRPr="00DB4E3A">
              <w:rPr>
                <w:color w:val="auto"/>
                <w:sz w:val="12"/>
                <w:szCs w:val="12"/>
              </w:rPr>
              <w:t xml:space="preserve">PG </w:t>
            </w:r>
            <w:r w:rsidR="003E160C">
              <w:rPr>
                <w:color w:val="auto"/>
                <w:sz w:val="12"/>
                <w:szCs w:val="12"/>
              </w:rPr>
              <w:t>22</w:t>
            </w:r>
          </w:p>
        </w:tc>
      </w:tr>
      <w:tr w:rsidR="00DB4E3A" w:rsidRPr="00DB4E3A" w14:paraId="3E768942" w14:textId="77777777" w:rsidTr="009C6315">
        <w:tc>
          <w:tcPr>
            <w:tcW w:w="9867" w:type="dxa"/>
          </w:tcPr>
          <w:p w14:paraId="305B6C94" w14:textId="77777777" w:rsidR="00C804AA" w:rsidRPr="00DB4E3A" w:rsidRDefault="00C804AA" w:rsidP="00324B5B">
            <w:pPr>
              <w:pStyle w:val="Default"/>
              <w:spacing w:before="60" w:after="60"/>
              <w:rPr>
                <w:color w:val="auto"/>
                <w:sz w:val="20"/>
                <w:szCs w:val="20"/>
              </w:rPr>
            </w:pPr>
            <w:r w:rsidRPr="00DB4E3A">
              <w:rPr>
                <w:b/>
                <w:bCs/>
                <w:i/>
                <w:iCs/>
                <w:color w:val="auto"/>
                <w:sz w:val="20"/>
                <w:szCs w:val="20"/>
              </w:rPr>
              <w:t xml:space="preserve">Final Pro Rata Need (FPRN) </w:t>
            </w:r>
            <w:r w:rsidRPr="00DB4E3A">
              <w:rPr>
                <w:color w:val="auto"/>
                <w:sz w:val="20"/>
                <w:szCs w:val="20"/>
              </w:rPr>
              <w:t xml:space="preserve">the higher of: (1) </w:t>
            </w:r>
            <w:r w:rsidR="006E6382" w:rsidRPr="00DB4E3A">
              <w:rPr>
                <w:color w:val="auto"/>
                <w:sz w:val="20"/>
                <w:szCs w:val="20"/>
              </w:rPr>
              <w:t xml:space="preserve">the preliminary pro rata </w:t>
            </w:r>
            <w:proofErr w:type="gramStart"/>
            <w:r w:rsidR="006E6382" w:rsidRPr="00DB4E3A">
              <w:rPr>
                <w:color w:val="auto"/>
                <w:sz w:val="20"/>
                <w:szCs w:val="20"/>
              </w:rPr>
              <w:t>need</w:t>
            </w:r>
            <w:proofErr w:type="gramEnd"/>
            <w:r w:rsidRPr="00DB4E3A">
              <w:rPr>
                <w:color w:val="auto"/>
                <w:sz w:val="20"/>
                <w:szCs w:val="20"/>
              </w:rPr>
              <w:t>, or (2) renewal demand for the Continuum of Care. The FPRN establishes the base for the maximum award amount for the Continuum of Care.</w:t>
            </w:r>
          </w:p>
        </w:tc>
        <w:tc>
          <w:tcPr>
            <w:tcW w:w="1018" w:type="dxa"/>
          </w:tcPr>
          <w:p w14:paraId="3E613F09"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33BC0ADF"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4FF9D53E"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PG 21</w:t>
            </w:r>
          </w:p>
        </w:tc>
      </w:tr>
      <w:tr w:rsidR="00DB4E3A" w:rsidRPr="00DB4E3A" w14:paraId="398B59D0" w14:textId="77777777" w:rsidTr="009C6315">
        <w:tc>
          <w:tcPr>
            <w:tcW w:w="9867" w:type="dxa"/>
          </w:tcPr>
          <w:p w14:paraId="647C8BBB" w14:textId="14B5E494" w:rsidR="002F063D" w:rsidRPr="00DB4E3A" w:rsidRDefault="002F063D" w:rsidP="002F063D">
            <w:pPr>
              <w:autoSpaceDE w:val="0"/>
              <w:autoSpaceDN w:val="0"/>
              <w:adjustRightInd w:val="0"/>
              <w:spacing w:before="60" w:after="60"/>
              <w:rPr>
                <w:rFonts w:ascii="Arial" w:hAnsi="Arial" w:cs="Arial"/>
                <w:b/>
                <w:i/>
                <w:iCs/>
                <w:sz w:val="20"/>
                <w:szCs w:val="20"/>
              </w:rPr>
            </w:pPr>
            <w:r w:rsidRPr="00772FCB">
              <w:rPr>
                <w:rFonts w:ascii="Arial" w:hAnsi="Arial" w:cs="Arial"/>
                <w:b/>
                <w:i/>
                <w:iCs/>
                <w:sz w:val="20"/>
                <w:szCs w:val="20"/>
              </w:rPr>
              <w:t>Housing First</w:t>
            </w:r>
            <w:r w:rsidRPr="00772FCB">
              <w:rPr>
                <w:rFonts w:ascii="Arial" w:hAnsi="Arial" w:cs="Arial"/>
                <w:b/>
                <w:sz w:val="20"/>
                <w:szCs w:val="20"/>
              </w:rPr>
              <w:t xml:space="preserve"> </w:t>
            </w:r>
            <w:r w:rsidR="003E160C" w:rsidRPr="003E160C">
              <w:rPr>
                <w:rFonts w:ascii="Arial" w:hAnsi="Arial" w:cs="Arial"/>
                <w:sz w:val="20"/>
                <w:szCs w:val="20"/>
              </w:rPr>
              <w:t>A model of housing assistance that prioritizes rapid placement and stabilization in permanent housing that does not have service participation requirements or preconditions (such as sobriety or a minimum income threshold). Transitional housing and supportive service only projects are considered using a Housing First model for the purposes of this NOFO if they operate with low barriers, work to quickly move people into permanent housing, do not require participation in supportive services, and, for transitional housing projects, do not require preconditions for moving into the transitional housing (e.g., sobriety or minimum income threshold). Additional information regarding Housing First is in Section II.A.2 of this NOFO.</w:t>
            </w:r>
          </w:p>
        </w:tc>
        <w:tc>
          <w:tcPr>
            <w:tcW w:w="1018" w:type="dxa"/>
          </w:tcPr>
          <w:p w14:paraId="19096E36" w14:textId="20527E38" w:rsidR="002F063D" w:rsidRPr="00DB4E3A" w:rsidRDefault="002F063D" w:rsidP="00F24929">
            <w:pPr>
              <w:pStyle w:val="Default"/>
              <w:spacing w:before="60" w:after="60"/>
              <w:jc w:val="right"/>
              <w:rPr>
                <w:color w:val="auto"/>
                <w:sz w:val="12"/>
                <w:szCs w:val="12"/>
              </w:rPr>
            </w:pPr>
            <w:r w:rsidRPr="00DB4E3A">
              <w:rPr>
                <w:color w:val="auto"/>
                <w:sz w:val="12"/>
                <w:szCs w:val="12"/>
              </w:rPr>
              <w:t>NOF</w:t>
            </w:r>
            <w:r w:rsidR="003E160C">
              <w:rPr>
                <w:color w:val="auto"/>
                <w:sz w:val="12"/>
                <w:szCs w:val="12"/>
              </w:rPr>
              <w:t>O</w:t>
            </w:r>
            <w:r w:rsidRPr="00DB4E3A">
              <w:rPr>
                <w:color w:val="auto"/>
                <w:sz w:val="12"/>
                <w:szCs w:val="12"/>
              </w:rPr>
              <w:t>, CoC Program Competition</w:t>
            </w:r>
          </w:p>
          <w:p w14:paraId="19D5C8F7" w14:textId="7DBB68E3" w:rsidR="002F063D" w:rsidRPr="00DB4E3A" w:rsidRDefault="002F063D" w:rsidP="00F24929">
            <w:pPr>
              <w:pStyle w:val="Default"/>
              <w:spacing w:before="60" w:after="60"/>
              <w:jc w:val="right"/>
              <w:rPr>
                <w:color w:val="auto"/>
                <w:sz w:val="12"/>
                <w:szCs w:val="12"/>
              </w:rPr>
            </w:pPr>
            <w:r w:rsidRPr="00DB4E3A">
              <w:rPr>
                <w:color w:val="auto"/>
                <w:sz w:val="12"/>
                <w:szCs w:val="12"/>
              </w:rPr>
              <w:t xml:space="preserve">PG </w:t>
            </w:r>
            <w:r w:rsidR="003E160C">
              <w:rPr>
                <w:color w:val="auto"/>
                <w:sz w:val="12"/>
                <w:szCs w:val="12"/>
              </w:rPr>
              <w:t>23</w:t>
            </w:r>
          </w:p>
        </w:tc>
      </w:tr>
      <w:tr w:rsidR="00DB4E3A" w:rsidRPr="00DB4E3A" w14:paraId="4B9133CF" w14:textId="77777777" w:rsidTr="009C6315">
        <w:tc>
          <w:tcPr>
            <w:tcW w:w="9867" w:type="dxa"/>
          </w:tcPr>
          <w:p w14:paraId="7749A65B" w14:textId="01C09F59" w:rsidR="00C82B76" w:rsidRPr="00DB4E3A" w:rsidRDefault="00C82B76" w:rsidP="00843536">
            <w:pPr>
              <w:autoSpaceDE w:val="0"/>
              <w:autoSpaceDN w:val="0"/>
              <w:adjustRightInd w:val="0"/>
              <w:spacing w:before="60" w:after="60"/>
              <w:rPr>
                <w:rFonts w:ascii="Arial" w:hAnsi="Arial" w:cs="Arial"/>
                <w:sz w:val="20"/>
                <w:szCs w:val="20"/>
              </w:rPr>
            </w:pPr>
            <w:r w:rsidRPr="00C82B76">
              <w:rPr>
                <w:rFonts w:ascii="Arial" w:hAnsi="Arial" w:cs="Arial"/>
                <w:b/>
                <w:i/>
                <w:iCs/>
                <w:sz w:val="20"/>
                <w:szCs w:val="20"/>
              </w:rPr>
              <w:t>Joint TH and PH-RRH Component Project.</w:t>
            </w:r>
            <w:r w:rsidRPr="00C82B76">
              <w:rPr>
                <w:rFonts w:ascii="Arial" w:hAnsi="Arial" w:cs="Arial"/>
                <w:i/>
                <w:iCs/>
                <w:sz w:val="20"/>
                <w:szCs w:val="20"/>
              </w:rPr>
              <w:t xml:space="preserve"> </w:t>
            </w:r>
            <w:r w:rsidR="008E5F85" w:rsidRPr="008E5F85">
              <w:rPr>
                <w:rFonts w:ascii="Arial" w:hAnsi="Arial" w:cs="Arial"/>
                <w:sz w:val="20"/>
                <w:szCs w:val="20"/>
              </w:rPr>
              <w:t>The Joint TH and PH-RRH component project combines two existing program components–transitional housing and permanent housing-rapid rehousing–in a single project to serve individuals and families experiencing homelessness. HUD will require the recipient to adopt a Housing First approach (see Sections II.A.2 and III.B.2.o of this NOFO) across the entire project and program participants may only receive up to 24-months of total assistance. For more information about Joint TH and PH-RRH component projects, see Section V.C.3.c of this NOFO.</w:t>
            </w:r>
          </w:p>
        </w:tc>
        <w:tc>
          <w:tcPr>
            <w:tcW w:w="1018" w:type="dxa"/>
          </w:tcPr>
          <w:p w14:paraId="5F7FF109" w14:textId="47F5C563" w:rsidR="00C82B76" w:rsidRPr="00DB4E3A" w:rsidRDefault="00C82B76" w:rsidP="00F24929">
            <w:pPr>
              <w:pStyle w:val="Default"/>
              <w:spacing w:before="60" w:after="60"/>
              <w:jc w:val="right"/>
              <w:rPr>
                <w:color w:val="auto"/>
                <w:sz w:val="12"/>
                <w:szCs w:val="12"/>
              </w:rPr>
            </w:pPr>
            <w:r w:rsidRPr="00DB4E3A">
              <w:rPr>
                <w:color w:val="auto"/>
                <w:sz w:val="12"/>
                <w:szCs w:val="12"/>
              </w:rPr>
              <w:t>NOF</w:t>
            </w:r>
            <w:r w:rsidR="008E5F85">
              <w:rPr>
                <w:color w:val="auto"/>
                <w:sz w:val="12"/>
                <w:szCs w:val="12"/>
              </w:rPr>
              <w:t>O</w:t>
            </w:r>
            <w:r w:rsidRPr="00DB4E3A">
              <w:rPr>
                <w:color w:val="auto"/>
                <w:sz w:val="12"/>
                <w:szCs w:val="12"/>
              </w:rPr>
              <w:t>, CoC Program Competition</w:t>
            </w:r>
          </w:p>
          <w:p w14:paraId="4A4EC966" w14:textId="31EDBA75" w:rsidR="00C82B76" w:rsidRPr="00DB4E3A" w:rsidRDefault="00C82B76" w:rsidP="00F24929">
            <w:pPr>
              <w:pStyle w:val="Default"/>
              <w:spacing w:before="60" w:after="60"/>
              <w:jc w:val="right"/>
              <w:rPr>
                <w:color w:val="auto"/>
                <w:sz w:val="12"/>
                <w:szCs w:val="12"/>
              </w:rPr>
            </w:pPr>
            <w:r w:rsidRPr="00DB4E3A">
              <w:rPr>
                <w:color w:val="auto"/>
                <w:sz w:val="12"/>
                <w:szCs w:val="12"/>
              </w:rPr>
              <w:t xml:space="preserve">PG </w:t>
            </w:r>
            <w:r w:rsidR="008E5F85">
              <w:rPr>
                <w:color w:val="auto"/>
                <w:sz w:val="12"/>
                <w:szCs w:val="12"/>
              </w:rPr>
              <w:t>23</w:t>
            </w:r>
            <w:r w:rsidRPr="00DB4E3A">
              <w:rPr>
                <w:color w:val="auto"/>
                <w:sz w:val="12"/>
                <w:szCs w:val="12"/>
              </w:rPr>
              <w:t xml:space="preserve"> </w:t>
            </w:r>
          </w:p>
        </w:tc>
      </w:tr>
      <w:tr w:rsidR="00DB4E3A" w:rsidRPr="00DB4E3A" w14:paraId="26339E22" w14:textId="77777777" w:rsidTr="009C6315">
        <w:tc>
          <w:tcPr>
            <w:tcW w:w="9867" w:type="dxa"/>
          </w:tcPr>
          <w:p w14:paraId="1C7D594E" w14:textId="77777777" w:rsidR="00F24929" w:rsidRPr="00DB4E3A" w:rsidRDefault="00F24929" w:rsidP="00F24929">
            <w:pPr>
              <w:pStyle w:val="Default"/>
              <w:spacing w:before="60" w:after="60"/>
              <w:rPr>
                <w:b/>
                <w:bCs/>
                <w:i/>
                <w:iCs/>
                <w:color w:val="auto"/>
                <w:sz w:val="20"/>
                <w:szCs w:val="20"/>
              </w:rPr>
            </w:pPr>
            <w:r w:rsidRPr="00DB4E3A">
              <w:rPr>
                <w:b/>
                <w:i/>
                <w:color w:val="auto"/>
                <w:sz w:val="20"/>
                <w:szCs w:val="20"/>
              </w:rPr>
              <w:t>Match</w:t>
            </w:r>
            <w:r w:rsidRPr="00DB4E3A">
              <w:rPr>
                <w:color w:val="auto"/>
                <w:sz w:val="20"/>
                <w:szCs w:val="20"/>
              </w:rPr>
              <w:t xml:space="preserve"> The recipient or subrecipient must match all grant funds, except for leasing funds, with no less than 25 percent of funds or in-kind contributions from other sources. Cash match must be used for the costs of activities that are eligible under § 578.71.</w:t>
            </w:r>
          </w:p>
        </w:tc>
        <w:tc>
          <w:tcPr>
            <w:tcW w:w="1018" w:type="dxa"/>
          </w:tcPr>
          <w:p w14:paraId="0FD7B54B" w14:textId="77777777" w:rsidR="00F24929" w:rsidRPr="00DB4E3A" w:rsidRDefault="00F24929" w:rsidP="00F24929">
            <w:pPr>
              <w:pStyle w:val="Default"/>
              <w:spacing w:before="60" w:after="60"/>
              <w:jc w:val="right"/>
              <w:rPr>
                <w:color w:val="auto"/>
                <w:sz w:val="12"/>
                <w:szCs w:val="12"/>
              </w:rPr>
            </w:pPr>
            <w:r w:rsidRPr="00DB4E3A">
              <w:rPr>
                <w:color w:val="auto"/>
                <w:sz w:val="12"/>
                <w:szCs w:val="12"/>
              </w:rPr>
              <w:t>Interim Rule</w:t>
            </w:r>
          </w:p>
          <w:p w14:paraId="6152BB50" w14:textId="77777777" w:rsidR="00F24929" w:rsidRPr="00DB4E3A" w:rsidRDefault="00F24929" w:rsidP="00F24929">
            <w:pPr>
              <w:pStyle w:val="Default"/>
              <w:spacing w:before="60" w:after="60"/>
              <w:jc w:val="right"/>
              <w:rPr>
                <w:color w:val="auto"/>
                <w:sz w:val="12"/>
                <w:szCs w:val="12"/>
              </w:rPr>
            </w:pPr>
            <w:r w:rsidRPr="00DB4E3A">
              <w:rPr>
                <w:color w:val="auto"/>
                <w:sz w:val="12"/>
                <w:szCs w:val="12"/>
              </w:rPr>
              <w:t>24 CFR 578.3</w:t>
            </w:r>
          </w:p>
          <w:p w14:paraId="3DE8C753" w14:textId="77777777" w:rsidR="00F24929" w:rsidRPr="00DB4E3A" w:rsidRDefault="00F24929" w:rsidP="00F24929">
            <w:pPr>
              <w:pStyle w:val="Default"/>
              <w:spacing w:before="60" w:after="60"/>
              <w:jc w:val="right"/>
              <w:rPr>
                <w:color w:val="auto"/>
                <w:sz w:val="12"/>
                <w:szCs w:val="12"/>
              </w:rPr>
            </w:pPr>
            <w:r w:rsidRPr="00DB4E3A">
              <w:rPr>
                <w:color w:val="auto"/>
                <w:sz w:val="12"/>
                <w:szCs w:val="12"/>
              </w:rPr>
              <w:t>PG 91</w:t>
            </w:r>
          </w:p>
        </w:tc>
      </w:tr>
      <w:tr w:rsidR="00DB4E3A" w:rsidRPr="00DB4E3A" w14:paraId="5FE74EBD" w14:textId="77777777" w:rsidTr="009C6315">
        <w:tc>
          <w:tcPr>
            <w:tcW w:w="9867" w:type="dxa"/>
          </w:tcPr>
          <w:p w14:paraId="2546562B" w14:textId="3A03D407" w:rsidR="00C804AA" w:rsidRPr="00DB4E3A" w:rsidRDefault="00C804AA" w:rsidP="00324B5B">
            <w:pPr>
              <w:pStyle w:val="Default"/>
              <w:spacing w:before="60" w:after="60"/>
              <w:rPr>
                <w:color w:val="auto"/>
                <w:sz w:val="20"/>
                <w:szCs w:val="20"/>
              </w:rPr>
            </w:pPr>
            <w:r w:rsidRPr="00DB4E3A">
              <w:rPr>
                <w:b/>
                <w:bCs/>
                <w:i/>
                <w:iCs/>
                <w:color w:val="auto"/>
                <w:sz w:val="20"/>
                <w:szCs w:val="20"/>
              </w:rPr>
              <w:lastRenderedPageBreak/>
              <w:t>Notice of Funding Availability (NOFA)</w:t>
            </w:r>
            <w:r w:rsidR="008E5F85">
              <w:rPr>
                <w:b/>
                <w:bCs/>
                <w:i/>
                <w:iCs/>
                <w:color w:val="auto"/>
                <w:sz w:val="20"/>
                <w:szCs w:val="20"/>
              </w:rPr>
              <w:t xml:space="preserve">, same as Notice of Funding Opportunity (NOFO) </w:t>
            </w:r>
            <w:r w:rsidRPr="00DB4E3A">
              <w:rPr>
                <w:color w:val="auto"/>
                <w:sz w:val="20"/>
                <w:szCs w:val="20"/>
              </w:rPr>
              <w:t>after enactment of the annual appropriations act for the fiscal year, HUD will issue a NOFA</w:t>
            </w:r>
            <w:r w:rsidR="008E5F85">
              <w:rPr>
                <w:color w:val="auto"/>
                <w:sz w:val="20"/>
                <w:szCs w:val="20"/>
              </w:rPr>
              <w:t xml:space="preserve"> (NOFO)</w:t>
            </w:r>
            <w:r w:rsidRPr="00DB4E3A">
              <w:rPr>
                <w:color w:val="auto"/>
                <w:sz w:val="20"/>
                <w:szCs w:val="20"/>
              </w:rPr>
              <w:t xml:space="preserve"> in accordance with the requirements of 24 CFR part 4. The NOFA</w:t>
            </w:r>
            <w:r w:rsidR="008E5F85">
              <w:rPr>
                <w:color w:val="auto"/>
                <w:sz w:val="20"/>
                <w:szCs w:val="20"/>
              </w:rPr>
              <w:t xml:space="preserve"> (NOFO)</w:t>
            </w:r>
            <w:r w:rsidRPr="00DB4E3A">
              <w:rPr>
                <w:color w:val="auto"/>
                <w:sz w:val="20"/>
                <w:szCs w:val="20"/>
              </w:rPr>
              <w:t xml:space="preserve"> establishes the funding criteria for that fiscal year’s Continuum of Care (CoC) Program Competition. </w:t>
            </w:r>
          </w:p>
        </w:tc>
        <w:tc>
          <w:tcPr>
            <w:tcW w:w="1018" w:type="dxa"/>
          </w:tcPr>
          <w:p w14:paraId="166484F8"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294DCD4D"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28C9C716"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PG 64</w:t>
            </w:r>
          </w:p>
        </w:tc>
      </w:tr>
      <w:tr w:rsidR="00DB4E3A" w:rsidRPr="00DB4E3A" w14:paraId="24C54B81" w14:textId="77777777" w:rsidTr="009C6315">
        <w:tc>
          <w:tcPr>
            <w:tcW w:w="9867" w:type="dxa"/>
          </w:tcPr>
          <w:p w14:paraId="47C487E5" w14:textId="77777777" w:rsidR="00C804AA" w:rsidRPr="00DB4E3A" w:rsidRDefault="00C804AA" w:rsidP="007B6C85">
            <w:pPr>
              <w:spacing w:before="60" w:after="60"/>
              <w:rPr>
                <w:rFonts w:ascii="Arial" w:hAnsi="Arial" w:cs="Arial"/>
                <w:b/>
                <w:bCs/>
                <w:i/>
                <w:iCs/>
                <w:sz w:val="20"/>
                <w:szCs w:val="20"/>
              </w:rPr>
            </w:pPr>
            <w:r w:rsidRPr="00DB4E3A">
              <w:rPr>
                <w:rFonts w:ascii="Arial" w:hAnsi="Arial" w:cs="Arial"/>
                <w:b/>
                <w:bCs/>
                <w:i/>
                <w:iCs/>
                <w:sz w:val="20"/>
                <w:szCs w:val="20"/>
              </w:rPr>
              <w:t xml:space="preserve">Permanent </w:t>
            </w:r>
            <w:r w:rsidR="00EF516B" w:rsidRPr="00DB4E3A">
              <w:rPr>
                <w:rFonts w:ascii="Arial" w:hAnsi="Arial" w:cs="Arial"/>
                <w:b/>
                <w:bCs/>
                <w:i/>
                <w:iCs/>
                <w:sz w:val="20"/>
                <w:szCs w:val="20"/>
              </w:rPr>
              <w:t>S</w:t>
            </w:r>
            <w:r w:rsidRPr="00DB4E3A">
              <w:rPr>
                <w:rFonts w:ascii="Arial" w:hAnsi="Arial" w:cs="Arial"/>
                <w:b/>
                <w:bCs/>
                <w:i/>
                <w:iCs/>
                <w:sz w:val="20"/>
                <w:szCs w:val="20"/>
              </w:rPr>
              <w:t xml:space="preserve">upportive </w:t>
            </w:r>
            <w:r w:rsidR="00EF516B" w:rsidRPr="00DB4E3A">
              <w:rPr>
                <w:rFonts w:ascii="Arial" w:hAnsi="Arial" w:cs="Arial"/>
                <w:b/>
                <w:bCs/>
                <w:i/>
                <w:iCs/>
                <w:sz w:val="20"/>
                <w:szCs w:val="20"/>
              </w:rPr>
              <w:t>H</w:t>
            </w:r>
            <w:r w:rsidRPr="00DB4E3A">
              <w:rPr>
                <w:rFonts w:ascii="Arial" w:hAnsi="Arial" w:cs="Arial"/>
                <w:b/>
                <w:bCs/>
                <w:i/>
                <w:iCs/>
                <w:sz w:val="20"/>
                <w:szCs w:val="20"/>
              </w:rPr>
              <w:t xml:space="preserve">ousing </w:t>
            </w:r>
            <w:r w:rsidR="007B6C85" w:rsidRPr="00DB4E3A">
              <w:rPr>
                <w:rFonts w:ascii="Arial" w:eastAsiaTheme="minorEastAsia" w:hAnsi="Arial" w:cs="Arial"/>
                <w:sz w:val="20"/>
                <w:szCs w:val="20"/>
              </w:rPr>
              <w:t>is n</w:t>
            </w:r>
            <w:r w:rsidR="00EF516B" w:rsidRPr="00DB4E3A">
              <w:rPr>
                <w:rFonts w:ascii="Arial" w:eastAsiaTheme="minorEastAsia" w:hAnsi="Arial" w:cs="Arial"/>
                <w:sz w:val="20"/>
                <w:szCs w:val="20"/>
              </w:rPr>
              <w:t xml:space="preserve">on time-limited, affordable housing with optional wrap around intensive support services for people experiencing homelessness where the head of household has a </w:t>
            </w:r>
            <w:proofErr w:type="gramStart"/>
            <w:r w:rsidR="00EF516B" w:rsidRPr="00DB4E3A">
              <w:rPr>
                <w:rFonts w:ascii="Arial" w:eastAsiaTheme="minorEastAsia" w:hAnsi="Arial" w:cs="Arial"/>
                <w:sz w:val="20"/>
                <w:szCs w:val="20"/>
              </w:rPr>
              <w:t>long term</w:t>
            </w:r>
            <w:proofErr w:type="gramEnd"/>
            <w:r w:rsidR="00EF516B" w:rsidRPr="00DB4E3A">
              <w:rPr>
                <w:rFonts w:ascii="Arial" w:eastAsiaTheme="minorEastAsia" w:hAnsi="Arial" w:cs="Arial"/>
                <w:sz w:val="20"/>
                <w:szCs w:val="20"/>
              </w:rPr>
              <w:t xml:space="preserve"> disability that is not expected to resolve and significantly interferes with their activities of daily living.</w:t>
            </w:r>
          </w:p>
        </w:tc>
        <w:tc>
          <w:tcPr>
            <w:tcW w:w="1018" w:type="dxa"/>
          </w:tcPr>
          <w:p w14:paraId="599E30DC" w14:textId="77777777" w:rsidR="00C804AA" w:rsidRPr="00DB4E3A" w:rsidRDefault="00EF516B" w:rsidP="00F24929">
            <w:pPr>
              <w:pStyle w:val="Default"/>
              <w:spacing w:before="60" w:after="60"/>
              <w:jc w:val="right"/>
              <w:rPr>
                <w:color w:val="auto"/>
                <w:sz w:val="12"/>
                <w:szCs w:val="12"/>
              </w:rPr>
            </w:pPr>
            <w:r w:rsidRPr="00DB4E3A">
              <w:rPr>
                <w:color w:val="auto"/>
                <w:sz w:val="12"/>
                <w:szCs w:val="12"/>
              </w:rPr>
              <w:t>Coordinated Entry Manual</w:t>
            </w:r>
          </w:p>
        </w:tc>
      </w:tr>
      <w:tr w:rsidR="00DB4E3A" w:rsidRPr="00DB4E3A" w14:paraId="3DBD045F" w14:textId="77777777" w:rsidTr="009C6315">
        <w:tc>
          <w:tcPr>
            <w:tcW w:w="9867" w:type="dxa"/>
          </w:tcPr>
          <w:p w14:paraId="3FEE56B3" w14:textId="289C94D6" w:rsidR="00C804AA" w:rsidRPr="00DB4E3A" w:rsidRDefault="00C804AA" w:rsidP="00324B5B">
            <w:pPr>
              <w:pStyle w:val="Default"/>
              <w:spacing w:before="60" w:after="60"/>
              <w:rPr>
                <w:bCs/>
                <w:iCs/>
                <w:color w:val="auto"/>
                <w:sz w:val="20"/>
                <w:szCs w:val="20"/>
              </w:rPr>
            </w:pPr>
            <w:r w:rsidRPr="00DB4E3A">
              <w:rPr>
                <w:b/>
                <w:bCs/>
                <w:i/>
                <w:iCs/>
                <w:color w:val="auto"/>
                <w:sz w:val="20"/>
                <w:szCs w:val="20"/>
              </w:rPr>
              <w:t xml:space="preserve">Preliminary Pro Rata Need (PPRN) </w:t>
            </w:r>
            <w:r w:rsidRPr="00DB4E3A">
              <w:rPr>
                <w:bCs/>
                <w:iCs/>
                <w:color w:val="auto"/>
                <w:sz w:val="20"/>
                <w:szCs w:val="20"/>
              </w:rPr>
              <w:t xml:space="preserve">funding amount assigned to </w:t>
            </w:r>
            <w:r w:rsidRPr="00DB4E3A">
              <w:rPr>
                <w:color w:val="auto"/>
                <w:sz w:val="20"/>
                <w:szCs w:val="20"/>
              </w:rPr>
              <w:t xml:space="preserve">metropolitan cities, urban counties, and all other counties </w:t>
            </w:r>
            <w:r w:rsidRPr="00DB4E3A">
              <w:rPr>
                <w:bCs/>
                <w:iCs/>
                <w:color w:val="auto"/>
                <w:sz w:val="20"/>
                <w:szCs w:val="20"/>
              </w:rPr>
              <w:t>published by HUD annually after the enactment of the</w:t>
            </w:r>
            <w:r w:rsidRPr="00DB4E3A">
              <w:rPr>
                <w:b/>
                <w:bCs/>
                <w:iCs/>
                <w:color w:val="auto"/>
                <w:sz w:val="20"/>
                <w:szCs w:val="20"/>
              </w:rPr>
              <w:t xml:space="preserve"> </w:t>
            </w:r>
            <w:r w:rsidRPr="00DB4E3A">
              <w:rPr>
                <w:color w:val="auto"/>
                <w:sz w:val="20"/>
                <w:szCs w:val="20"/>
              </w:rPr>
              <w:t>annual appropriations act for each fiscal year and issuance of the NOFA (</w:t>
            </w:r>
            <w:r w:rsidR="008E5F85">
              <w:rPr>
                <w:color w:val="auto"/>
                <w:sz w:val="20"/>
                <w:szCs w:val="20"/>
              </w:rPr>
              <w:t>NOFO</w:t>
            </w:r>
            <w:r w:rsidRPr="00DB4E3A">
              <w:rPr>
                <w:color w:val="auto"/>
                <w:sz w:val="20"/>
                <w:szCs w:val="20"/>
              </w:rPr>
              <w:t>)</w:t>
            </w:r>
            <w:r w:rsidRPr="00DB4E3A">
              <w:rPr>
                <w:b/>
                <w:bCs/>
                <w:iCs/>
                <w:color w:val="auto"/>
                <w:sz w:val="20"/>
                <w:szCs w:val="20"/>
              </w:rPr>
              <w:t xml:space="preserve">.  </w:t>
            </w:r>
            <w:r w:rsidRPr="00DB4E3A">
              <w:rPr>
                <w:bCs/>
                <w:iCs/>
                <w:color w:val="auto"/>
                <w:sz w:val="20"/>
                <w:szCs w:val="20"/>
              </w:rPr>
              <w:t>Description of the formula can be found on pages 63 and 64 of the Interim Rule.</w:t>
            </w:r>
            <w:r w:rsidRPr="00DB4E3A">
              <w:rPr>
                <w:color w:val="auto"/>
                <w:sz w:val="20"/>
                <w:szCs w:val="20"/>
              </w:rPr>
              <w:t xml:space="preserve"> </w:t>
            </w:r>
          </w:p>
        </w:tc>
        <w:tc>
          <w:tcPr>
            <w:tcW w:w="1018" w:type="dxa"/>
          </w:tcPr>
          <w:p w14:paraId="3580EBC4"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2DE196C5"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4261D1DE"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 xml:space="preserve">PG 63 – 64 </w:t>
            </w:r>
          </w:p>
        </w:tc>
      </w:tr>
      <w:tr w:rsidR="00DB4E3A" w:rsidRPr="00DB4E3A" w14:paraId="07D56F7D" w14:textId="77777777" w:rsidTr="009C6315">
        <w:tc>
          <w:tcPr>
            <w:tcW w:w="9867" w:type="dxa"/>
          </w:tcPr>
          <w:p w14:paraId="175D785F" w14:textId="77777777" w:rsidR="00C804AA" w:rsidRPr="00DB4E3A" w:rsidRDefault="00C804AA" w:rsidP="00324B5B">
            <w:pPr>
              <w:spacing w:before="60" w:after="60"/>
              <w:rPr>
                <w:rFonts w:ascii="Arial" w:hAnsi="Arial" w:cs="Arial"/>
                <w:b/>
                <w:bCs/>
                <w:i/>
                <w:iCs/>
                <w:sz w:val="20"/>
                <w:szCs w:val="20"/>
              </w:rPr>
            </w:pPr>
            <w:r w:rsidRPr="00DB4E3A">
              <w:rPr>
                <w:rFonts w:ascii="Arial" w:hAnsi="Arial" w:cs="Arial"/>
                <w:b/>
                <w:bCs/>
                <w:i/>
                <w:iCs/>
                <w:sz w:val="20"/>
                <w:szCs w:val="20"/>
              </w:rPr>
              <w:t xml:space="preserve">Project </w:t>
            </w:r>
            <w:r w:rsidRPr="00DB4E3A">
              <w:rPr>
                <w:rFonts w:ascii="Arial" w:hAnsi="Arial" w:cs="Arial"/>
                <w:sz w:val="20"/>
                <w:szCs w:val="20"/>
              </w:rPr>
              <w:t>means a group of eligible activities, such as HMIS costs, identified as a project in an application to HUD for Continuum of Care funds and includes a structure (or structures) that is (are) acquired, rehabilitated, constructed, or leased with assistance provided under this part or with respect to which HUD provides rental assistance or annual payments for operating costs, or supportive services under this subtitle.</w:t>
            </w:r>
          </w:p>
        </w:tc>
        <w:tc>
          <w:tcPr>
            <w:tcW w:w="1018" w:type="dxa"/>
          </w:tcPr>
          <w:p w14:paraId="77DF8F67"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568D59C7"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07BA0EC6"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PG 57</w:t>
            </w:r>
          </w:p>
        </w:tc>
      </w:tr>
      <w:tr w:rsidR="00DB4E3A" w:rsidRPr="00DB4E3A" w14:paraId="2F3B375A" w14:textId="77777777" w:rsidTr="009C6315">
        <w:tc>
          <w:tcPr>
            <w:tcW w:w="9867" w:type="dxa"/>
          </w:tcPr>
          <w:p w14:paraId="2222D2AC" w14:textId="77777777" w:rsidR="00EF28A8" w:rsidRPr="00DB4E3A" w:rsidRDefault="00C804AA" w:rsidP="00324B5B">
            <w:pPr>
              <w:pStyle w:val="Default"/>
              <w:spacing w:before="60" w:after="60"/>
              <w:rPr>
                <w:rFonts w:eastAsiaTheme="minorEastAsia"/>
                <w:color w:val="auto"/>
                <w:sz w:val="20"/>
                <w:szCs w:val="20"/>
                <w:shd w:val="clear" w:color="auto" w:fill="FFFFFF"/>
              </w:rPr>
            </w:pPr>
            <w:r w:rsidRPr="00DB4E3A">
              <w:rPr>
                <w:b/>
                <w:i/>
                <w:color w:val="auto"/>
                <w:sz w:val="20"/>
                <w:szCs w:val="20"/>
              </w:rPr>
              <w:t>Rapid R</w:t>
            </w:r>
            <w:r w:rsidR="007B6C85" w:rsidRPr="00DB4E3A">
              <w:rPr>
                <w:b/>
                <w:i/>
                <w:color w:val="auto"/>
                <w:sz w:val="20"/>
                <w:szCs w:val="20"/>
              </w:rPr>
              <w:t>ehousing</w:t>
            </w:r>
            <w:r w:rsidRPr="00DB4E3A">
              <w:rPr>
                <w:color w:val="auto"/>
                <w:sz w:val="20"/>
                <w:szCs w:val="20"/>
              </w:rPr>
              <w:t xml:space="preserve"> </w:t>
            </w:r>
            <w:r w:rsidR="007B6C85" w:rsidRPr="00DB4E3A">
              <w:rPr>
                <w:rFonts w:eastAsiaTheme="minorEastAsia"/>
                <w:color w:val="auto"/>
                <w:sz w:val="20"/>
                <w:szCs w:val="20"/>
              </w:rPr>
              <w:t xml:space="preserve">is an approach to </w:t>
            </w:r>
            <w:r w:rsidR="007B6C85" w:rsidRPr="00DB4E3A">
              <w:rPr>
                <w:rFonts w:eastAsiaTheme="minorEastAsia"/>
                <w:color w:val="auto"/>
                <w:sz w:val="20"/>
                <w:szCs w:val="20"/>
                <w:shd w:val="clear" w:color="auto" w:fill="FFFFFF"/>
              </w:rPr>
              <w:t xml:space="preserve">help Individuals and Families experiencing homelessness move quickly into permanent housing, ideally within 30 days of becoming homeless.  Rapid re-housing assistance is generally offered without preconditions (such as employment, income, absence of criminal record, or sobriety) and the resources and services provided are typically tailored to the unique needs of each household.  Services include housing search and selection support, assistance in negotiating the terms of a lease, short term rent subsidies and move-in assistance (dependent upon availability of funding; the household must also meet the eligibility criteria of the funding source), individualized case management, ongoing crisis prevention and crisis management services, facilitated access to community resources (i.e. benefits, employment), and other supportive services. </w:t>
            </w:r>
          </w:p>
          <w:p w14:paraId="2CF8D62B" w14:textId="77777777" w:rsidR="00C804AA" w:rsidRPr="00DB4E3A" w:rsidRDefault="00C804AA" w:rsidP="00324B5B">
            <w:pPr>
              <w:pStyle w:val="Default"/>
              <w:spacing w:before="60" w:after="60"/>
              <w:rPr>
                <w:color w:val="auto"/>
                <w:sz w:val="20"/>
                <w:szCs w:val="20"/>
              </w:rPr>
            </w:pPr>
            <w:r w:rsidRPr="00DB4E3A">
              <w:rPr>
                <w:color w:val="auto"/>
                <w:sz w:val="20"/>
                <w:szCs w:val="20"/>
              </w:rPr>
              <w:t>Continuum of Care funds may provide supportive services, as set forth in § 578.53, and/or short-term (up to 3 months) and/or medium-term (for 3 to 24 months) tenant-based rental assistance, as set forth in § 578.51(c), as necessary to help a homeless individual or family, with or without disabilities, move as quickly as possible into permanent housing and achieve stability in that housing. When providing short-term and/or medium-term rental assistance to program participants, the rental assistance is subject to § 578.51(a)(1), but not § 578.51(a)(1)(</w:t>
            </w:r>
            <w:proofErr w:type="spellStart"/>
            <w:r w:rsidRPr="00DB4E3A">
              <w:rPr>
                <w:color w:val="auto"/>
                <w:sz w:val="20"/>
                <w:szCs w:val="20"/>
              </w:rPr>
              <w:t>i</w:t>
            </w:r>
            <w:proofErr w:type="spellEnd"/>
            <w:r w:rsidRPr="00DB4E3A">
              <w:rPr>
                <w:color w:val="auto"/>
                <w:sz w:val="20"/>
                <w:szCs w:val="20"/>
              </w:rPr>
              <w:t>) and (ii); (a)(2); (c) and (f) through (</w:t>
            </w:r>
            <w:proofErr w:type="spellStart"/>
            <w:r w:rsidRPr="00DB4E3A">
              <w:rPr>
                <w:color w:val="auto"/>
                <w:sz w:val="20"/>
                <w:szCs w:val="20"/>
              </w:rPr>
              <w:t>i</w:t>
            </w:r>
            <w:proofErr w:type="spellEnd"/>
            <w:r w:rsidRPr="00DB4E3A">
              <w:rPr>
                <w:color w:val="auto"/>
                <w:sz w:val="20"/>
                <w:szCs w:val="20"/>
              </w:rPr>
              <w:t xml:space="preserve">); and (l)(1). These projects: </w:t>
            </w:r>
          </w:p>
          <w:p w14:paraId="613D069C" w14:textId="77777777" w:rsidR="00C804AA" w:rsidRPr="00DB4E3A" w:rsidRDefault="00C804AA" w:rsidP="00324B5B">
            <w:pPr>
              <w:pStyle w:val="Default"/>
              <w:numPr>
                <w:ilvl w:val="0"/>
                <w:numId w:val="2"/>
              </w:numPr>
              <w:spacing w:before="60" w:after="60"/>
              <w:ind w:left="337" w:hanging="270"/>
              <w:rPr>
                <w:color w:val="auto"/>
                <w:sz w:val="20"/>
                <w:szCs w:val="20"/>
              </w:rPr>
            </w:pPr>
            <w:r w:rsidRPr="00DB4E3A">
              <w:rPr>
                <w:color w:val="auto"/>
                <w:sz w:val="20"/>
                <w:szCs w:val="20"/>
              </w:rPr>
              <w:t xml:space="preserve">Must follow the written policies and procedures established by the Continuum of Care for determining and prioritizing which eligible families and individuals will receive rapid rehousing assistance, as well as the amount or percentage of rent that each program participant must pay. </w:t>
            </w:r>
          </w:p>
          <w:p w14:paraId="7D338A73" w14:textId="77777777" w:rsidR="00C804AA" w:rsidRPr="00DB4E3A" w:rsidRDefault="00C804AA" w:rsidP="00324B5B">
            <w:pPr>
              <w:pStyle w:val="Default"/>
              <w:numPr>
                <w:ilvl w:val="0"/>
                <w:numId w:val="2"/>
              </w:numPr>
              <w:spacing w:before="60" w:after="60"/>
              <w:ind w:left="337" w:hanging="270"/>
              <w:rPr>
                <w:color w:val="auto"/>
                <w:sz w:val="20"/>
                <w:szCs w:val="20"/>
              </w:rPr>
            </w:pPr>
            <w:r w:rsidRPr="00DB4E3A">
              <w:rPr>
                <w:color w:val="auto"/>
                <w:sz w:val="20"/>
                <w:szCs w:val="20"/>
              </w:rPr>
              <w:t xml:space="preserve">May set a maximum amount or percentage of rental assistance that a program participant may receive, a maximum number of months that a program participant may receive rental assistance, and/or a maximum number of times that a program participant may receive rental assistance. The recipient or subrecipient may also require program participants to share in the costs of rent. For the purposes of calculating rent for rapid rehousing, the rent shall equal the sum of the total monthly rent for the unit and, if the tenant pays separately for utilities, the monthly allowance for utilities (excluding telephone) established by the public housing authority for the area in which the housing is located. </w:t>
            </w:r>
          </w:p>
          <w:p w14:paraId="3D5360AD" w14:textId="77777777" w:rsidR="00C804AA" w:rsidRPr="00DB4E3A" w:rsidRDefault="00C804AA" w:rsidP="00324B5B">
            <w:pPr>
              <w:pStyle w:val="Default"/>
              <w:numPr>
                <w:ilvl w:val="0"/>
                <w:numId w:val="2"/>
              </w:numPr>
              <w:spacing w:before="60" w:after="60"/>
              <w:ind w:left="337" w:hanging="270"/>
              <w:rPr>
                <w:color w:val="auto"/>
                <w:sz w:val="20"/>
                <w:szCs w:val="20"/>
              </w:rPr>
            </w:pPr>
            <w:r w:rsidRPr="00DB4E3A">
              <w:rPr>
                <w:color w:val="auto"/>
                <w:sz w:val="20"/>
                <w:szCs w:val="20"/>
              </w:rPr>
              <w:t xml:space="preserve">Limit rental assistance to no more than 24 months to a household. </w:t>
            </w:r>
          </w:p>
          <w:p w14:paraId="42B0B346" w14:textId="77777777" w:rsidR="00C804AA" w:rsidRPr="00DB4E3A" w:rsidRDefault="00C804AA" w:rsidP="00324B5B">
            <w:pPr>
              <w:pStyle w:val="Default"/>
              <w:numPr>
                <w:ilvl w:val="0"/>
                <w:numId w:val="2"/>
              </w:numPr>
              <w:spacing w:before="60" w:after="60"/>
              <w:ind w:left="337" w:hanging="270"/>
              <w:rPr>
                <w:color w:val="auto"/>
                <w:sz w:val="20"/>
                <w:szCs w:val="20"/>
              </w:rPr>
            </w:pPr>
            <w:r w:rsidRPr="00DB4E3A">
              <w:rPr>
                <w:color w:val="auto"/>
                <w:sz w:val="20"/>
                <w:szCs w:val="20"/>
              </w:rPr>
              <w:t xml:space="preserve">May provide supportive services for no longer than 6 months after rental assistance stops. </w:t>
            </w:r>
          </w:p>
          <w:p w14:paraId="0FDA69E3" w14:textId="77777777" w:rsidR="00C804AA" w:rsidRPr="00DB4E3A" w:rsidRDefault="00C804AA" w:rsidP="007B6C85">
            <w:pPr>
              <w:pStyle w:val="Default"/>
              <w:numPr>
                <w:ilvl w:val="0"/>
                <w:numId w:val="2"/>
              </w:numPr>
              <w:spacing w:before="60" w:after="60"/>
              <w:ind w:left="337" w:hanging="270"/>
              <w:rPr>
                <w:color w:val="auto"/>
                <w:sz w:val="20"/>
                <w:szCs w:val="20"/>
              </w:rPr>
            </w:pPr>
            <w:r w:rsidRPr="00DB4E3A">
              <w:rPr>
                <w:color w:val="auto"/>
                <w:sz w:val="20"/>
                <w:szCs w:val="20"/>
              </w:rPr>
              <w:t xml:space="preserve">Must re-evaluate, not less than once annually, that the program participant lacks sufficient resources and support networks necessary to retain housing without Continuum of Care assistance and the types and amounts of assistance that the program participant needs to retain housing. The recipient or subrecipient may require each program participant receiving assistance to notify the recipient or subrecipient of changes in the program participant‘s income or other circumstances (e.g., changes in household composition) that affect the program participant's need for assistance. When notified of a relevant change, the recipient or subrecipient must reevaluate the program participant‘s eligibility and the amount and types of assistance that the program participant needs. </w:t>
            </w:r>
          </w:p>
          <w:p w14:paraId="491CDAB1" w14:textId="77777777" w:rsidR="00C804AA" w:rsidRPr="00DB4E3A" w:rsidRDefault="00C804AA" w:rsidP="00324B5B">
            <w:pPr>
              <w:pStyle w:val="Default"/>
              <w:numPr>
                <w:ilvl w:val="0"/>
                <w:numId w:val="2"/>
              </w:numPr>
              <w:spacing w:before="60" w:after="60"/>
              <w:ind w:left="337" w:hanging="270"/>
              <w:rPr>
                <w:color w:val="auto"/>
                <w:sz w:val="20"/>
                <w:szCs w:val="20"/>
              </w:rPr>
            </w:pPr>
            <w:r w:rsidRPr="00DB4E3A">
              <w:rPr>
                <w:color w:val="auto"/>
                <w:sz w:val="20"/>
                <w:szCs w:val="20"/>
              </w:rPr>
              <w:lastRenderedPageBreak/>
              <w:t xml:space="preserve">Require the program participant to meet with a case manager not less than once per month to assist the program participant in ensuring long-term housing stability. The project is exempt from this requirement if the Violence Against Women Act of 1994 (42 U.S.C. 13925 </w:t>
            </w:r>
            <w:r w:rsidRPr="00DB4E3A">
              <w:rPr>
                <w:i/>
                <w:iCs/>
                <w:color w:val="auto"/>
                <w:sz w:val="20"/>
                <w:szCs w:val="20"/>
              </w:rPr>
              <w:t>et seq.</w:t>
            </w:r>
            <w:r w:rsidRPr="00DB4E3A">
              <w:rPr>
                <w:color w:val="auto"/>
                <w:sz w:val="20"/>
                <w:szCs w:val="20"/>
              </w:rPr>
              <w:t xml:space="preserve">) or the Family Violence Prevention and Services Act (42 U.S.C. 10401 </w:t>
            </w:r>
            <w:r w:rsidRPr="00DB4E3A">
              <w:rPr>
                <w:i/>
                <w:iCs/>
                <w:color w:val="auto"/>
                <w:sz w:val="20"/>
                <w:szCs w:val="20"/>
              </w:rPr>
              <w:t>et seq.</w:t>
            </w:r>
            <w:r w:rsidRPr="00DB4E3A">
              <w:rPr>
                <w:color w:val="auto"/>
                <w:sz w:val="20"/>
                <w:szCs w:val="20"/>
              </w:rPr>
              <w:t xml:space="preserve">) prohibits the recipient carrying out the project from making its housing conditional on the participant‘s acceptance of services. </w:t>
            </w:r>
          </w:p>
        </w:tc>
        <w:tc>
          <w:tcPr>
            <w:tcW w:w="1018" w:type="dxa"/>
          </w:tcPr>
          <w:p w14:paraId="72FE9F1A" w14:textId="77777777" w:rsidR="007B6C85" w:rsidRPr="00DB4E3A" w:rsidRDefault="007B6C85" w:rsidP="007B6C85">
            <w:pPr>
              <w:pStyle w:val="Default"/>
              <w:spacing w:before="60" w:after="60"/>
              <w:jc w:val="right"/>
              <w:rPr>
                <w:color w:val="auto"/>
                <w:sz w:val="12"/>
                <w:szCs w:val="12"/>
              </w:rPr>
            </w:pPr>
            <w:r w:rsidRPr="00DB4E3A">
              <w:rPr>
                <w:color w:val="auto"/>
                <w:sz w:val="12"/>
                <w:szCs w:val="12"/>
              </w:rPr>
              <w:lastRenderedPageBreak/>
              <w:t xml:space="preserve">Coordinated Entry Manual </w:t>
            </w:r>
          </w:p>
          <w:p w14:paraId="2D2A8A61" w14:textId="77777777" w:rsidR="007B6C85" w:rsidRPr="00DB4E3A" w:rsidRDefault="007B6C85" w:rsidP="007B6C85">
            <w:pPr>
              <w:pStyle w:val="Default"/>
              <w:spacing w:before="60" w:after="60"/>
              <w:jc w:val="right"/>
              <w:rPr>
                <w:color w:val="auto"/>
                <w:sz w:val="12"/>
                <w:szCs w:val="12"/>
              </w:rPr>
            </w:pPr>
            <w:r w:rsidRPr="00DB4E3A">
              <w:rPr>
                <w:color w:val="auto"/>
                <w:sz w:val="12"/>
                <w:szCs w:val="12"/>
              </w:rPr>
              <w:t>and</w:t>
            </w:r>
          </w:p>
          <w:p w14:paraId="540B6E4C"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55934940"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0E6E0ED2"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PG 73</w:t>
            </w:r>
          </w:p>
        </w:tc>
      </w:tr>
      <w:tr w:rsidR="00DB4E3A" w:rsidRPr="00DB4E3A" w14:paraId="6855EB6C" w14:textId="77777777" w:rsidTr="009C6315">
        <w:tc>
          <w:tcPr>
            <w:tcW w:w="9867" w:type="dxa"/>
          </w:tcPr>
          <w:p w14:paraId="0DC73FDB" w14:textId="736A757B" w:rsidR="00181CC0" w:rsidRPr="00DB4E3A" w:rsidRDefault="00181CC0" w:rsidP="00324B5B">
            <w:pPr>
              <w:pStyle w:val="Default"/>
              <w:spacing w:before="60" w:after="60"/>
              <w:rPr>
                <w:rFonts w:ascii="Times New Roman" w:hAnsi="Times New Roman" w:cs="Times New Roman"/>
                <w:color w:val="auto"/>
                <w:sz w:val="20"/>
                <w:szCs w:val="20"/>
              </w:rPr>
            </w:pPr>
            <w:r w:rsidRPr="00181CC0">
              <w:rPr>
                <w:b/>
                <w:i/>
                <w:iCs/>
                <w:color w:val="auto"/>
                <w:sz w:val="20"/>
                <w:szCs w:val="20"/>
              </w:rPr>
              <w:t>Reallocation</w:t>
            </w:r>
            <w:r w:rsidR="008E5F85">
              <w:rPr>
                <w:b/>
                <w:i/>
                <w:iCs/>
                <w:color w:val="auto"/>
                <w:sz w:val="20"/>
                <w:szCs w:val="20"/>
              </w:rPr>
              <w:t xml:space="preserve"> </w:t>
            </w:r>
            <w:r w:rsidR="008E5F85" w:rsidRPr="008E5F85">
              <w:rPr>
                <w:color w:val="auto"/>
                <w:sz w:val="20"/>
                <w:szCs w:val="20"/>
              </w:rPr>
              <w:t>is a process used by CoCs to shift funds in whole or part from existing eligible renewal projects to create one or more new projects without decreasing the CoC’s ARD. New projects created through reallocation must meet the requirements set forth in Section II.B.1 of this NOFO and the project eligibility and project quality thresholds established by HUD in Sections V.C.3.b and c of this NOFO. CoCs may only reallocate eligible renewal projects that have previously been renewed under the CoC Program. To create a Transition Grant (see Section III.B.2.z of this NOFO), the CoC must wholly eliminate one or more projects and use those funds to create the single, new transition grant. YHDP projects cannot be reallocated. To receive funding for a new project, the Collaborative Applicant must demonstrate all project applications are evaluated and ranked based on the degree to which they improve the CoC’s system performance.</w:t>
            </w:r>
          </w:p>
        </w:tc>
        <w:tc>
          <w:tcPr>
            <w:tcW w:w="1018" w:type="dxa"/>
          </w:tcPr>
          <w:p w14:paraId="2FE964F7" w14:textId="65219632" w:rsidR="00181CC0" w:rsidRPr="00DB4E3A" w:rsidRDefault="00181CC0" w:rsidP="00F24929">
            <w:pPr>
              <w:pStyle w:val="Default"/>
              <w:spacing w:before="60" w:after="60"/>
              <w:jc w:val="right"/>
              <w:rPr>
                <w:color w:val="auto"/>
                <w:sz w:val="12"/>
                <w:szCs w:val="12"/>
              </w:rPr>
            </w:pPr>
            <w:r w:rsidRPr="00DB4E3A">
              <w:rPr>
                <w:color w:val="auto"/>
                <w:sz w:val="12"/>
                <w:szCs w:val="12"/>
              </w:rPr>
              <w:t>NOF</w:t>
            </w:r>
            <w:r w:rsidR="008E5F85">
              <w:rPr>
                <w:color w:val="auto"/>
                <w:sz w:val="12"/>
                <w:szCs w:val="12"/>
              </w:rPr>
              <w:t>O</w:t>
            </w:r>
            <w:r w:rsidRPr="00DB4E3A">
              <w:rPr>
                <w:color w:val="auto"/>
                <w:sz w:val="12"/>
                <w:szCs w:val="12"/>
              </w:rPr>
              <w:t>, CoC Program Competition</w:t>
            </w:r>
          </w:p>
          <w:p w14:paraId="27D3183F" w14:textId="71FF0ABF" w:rsidR="00181CC0" w:rsidRPr="00DB4E3A" w:rsidRDefault="00181CC0" w:rsidP="00F24929">
            <w:pPr>
              <w:pStyle w:val="Default"/>
              <w:spacing w:before="60" w:after="60"/>
              <w:jc w:val="right"/>
              <w:rPr>
                <w:color w:val="auto"/>
                <w:sz w:val="12"/>
                <w:szCs w:val="12"/>
              </w:rPr>
            </w:pPr>
            <w:r w:rsidRPr="00DB4E3A">
              <w:rPr>
                <w:color w:val="auto"/>
                <w:sz w:val="12"/>
                <w:szCs w:val="12"/>
              </w:rPr>
              <w:t xml:space="preserve">PG </w:t>
            </w:r>
            <w:r w:rsidR="00772FCB">
              <w:rPr>
                <w:color w:val="auto"/>
                <w:sz w:val="12"/>
                <w:szCs w:val="12"/>
              </w:rPr>
              <w:t>2</w:t>
            </w:r>
            <w:r w:rsidR="008E5F85">
              <w:rPr>
                <w:color w:val="auto"/>
                <w:sz w:val="12"/>
                <w:szCs w:val="12"/>
              </w:rPr>
              <w:t>4</w:t>
            </w:r>
          </w:p>
        </w:tc>
      </w:tr>
      <w:tr w:rsidR="00DB4E3A" w:rsidRPr="00DB4E3A" w14:paraId="3F30AB2B" w14:textId="77777777" w:rsidTr="009C6315">
        <w:tc>
          <w:tcPr>
            <w:tcW w:w="9867" w:type="dxa"/>
          </w:tcPr>
          <w:p w14:paraId="43357376" w14:textId="77777777" w:rsidR="00C804AA" w:rsidRPr="00DB4E3A" w:rsidRDefault="00C804AA" w:rsidP="00324B5B">
            <w:pPr>
              <w:spacing w:before="60" w:after="60"/>
              <w:rPr>
                <w:rFonts w:ascii="Arial" w:hAnsi="Arial" w:cs="Arial"/>
                <w:sz w:val="20"/>
                <w:szCs w:val="20"/>
              </w:rPr>
            </w:pPr>
            <w:r w:rsidRPr="00DB4E3A">
              <w:rPr>
                <w:rFonts w:ascii="Arial" w:hAnsi="Arial" w:cs="Arial"/>
                <w:b/>
                <w:bCs/>
                <w:i/>
                <w:iCs/>
                <w:sz w:val="20"/>
                <w:szCs w:val="20"/>
              </w:rPr>
              <w:t xml:space="preserve">Recipient </w:t>
            </w:r>
            <w:r w:rsidRPr="00DB4E3A">
              <w:rPr>
                <w:rFonts w:ascii="Arial" w:hAnsi="Arial" w:cs="Arial"/>
                <w:sz w:val="20"/>
                <w:szCs w:val="20"/>
              </w:rPr>
              <w:t>means an applicant that signs a grant agreement with HUD.</w:t>
            </w:r>
          </w:p>
        </w:tc>
        <w:tc>
          <w:tcPr>
            <w:tcW w:w="1018" w:type="dxa"/>
          </w:tcPr>
          <w:p w14:paraId="749B5EEA"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07952A2D" w14:textId="77777777" w:rsidR="006E6382" w:rsidRPr="00DB4E3A" w:rsidRDefault="006E6382" w:rsidP="00F24929">
            <w:pPr>
              <w:pStyle w:val="Default"/>
              <w:jc w:val="right"/>
              <w:rPr>
                <w:color w:val="auto"/>
                <w:sz w:val="12"/>
                <w:szCs w:val="12"/>
              </w:rPr>
            </w:pPr>
            <w:r w:rsidRPr="00DB4E3A">
              <w:rPr>
                <w:color w:val="auto"/>
                <w:sz w:val="12"/>
                <w:szCs w:val="12"/>
              </w:rPr>
              <w:t>24 CFR 578.3</w:t>
            </w:r>
          </w:p>
          <w:p w14:paraId="007FBADF"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PG 58</w:t>
            </w:r>
          </w:p>
        </w:tc>
      </w:tr>
      <w:tr w:rsidR="00DB4E3A" w:rsidRPr="00DB4E3A" w14:paraId="35464523" w14:textId="77777777" w:rsidTr="009C6315">
        <w:tc>
          <w:tcPr>
            <w:tcW w:w="9867" w:type="dxa"/>
          </w:tcPr>
          <w:p w14:paraId="49236644" w14:textId="77777777" w:rsidR="00C804AA" w:rsidRPr="00DB4E3A" w:rsidRDefault="00C804AA" w:rsidP="00324B5B">
            <w:pPr>
              <w:spacing w:before="60" w:after="60"/>
              <w:rPr>
                <w:rFonts w:ascii="Arial" w:hAnsi="Arial" w:cs="Arial"/>
                <w:sz w:val="20"/>
                <w:szCs w:val="20"/>
              </w:rPr>
            </w:pPr>
            <w:r w:rsidRPr="00DB4E3A">
              <w:rPr>
                <w:rFonts w:ascii="Arial" w:hAnsi="Arial" w:cs="Arial"/>
                <w:b/>
                <w:bCs/>
                <w:i/>
                <w:iCs/>
                <w:sz w:val="20"/>
                <w:szCs w:val="20"/>
              </w:rPr>
              <w:t xml:space="preserve">Subrecipient </w:t>
            </w:r>
            <w:r w:rsidRPr="00DB4E3A">
              <w:rPr>
                <w:rFonts w:ascii="Arial" w:hAnsi="Arial" w:cs="Arial"/>
                <w:sz w:val="20"/>
                <w:szCs w:val="20"/>
              </w:rPr>
              <w:t>means a private nonprofit organization, State, local government, or instrumentality of State or local government that receives a subgrant from the recipient to carry out a project.</w:t>
            </w:r>
          </w:p>
        </w:tc>
        <w:tc>
          <w:tcPr>
            <w:tcW w:w="1018" w:type="dxa"/>
          </w:tcPr>
          <w:p w14:paraId="6E17153E"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Interim Rule</w:t>
            </w:r>
          </w:p>
          <w:p w14:paraId="0696E3DD" w14:textId="77777777" w:rsidR="006E6382" w:rsidRPr="00DB4E3A" w:rsidRDefault="006E6382" w:rsidP="00F24929">
            <w:pPr>
              <w:pStyle w:val="Default"/>
              <w:spacing w:before="60" w:after="60"/>
              <w:jc w:val="right"/>
              <w:rPr>
                <w:color w:val="auto"/>
                <w:sz w:val="12"/>
                <w:szCs w:val="12"/>
              </w:rPr>
            </w:pPr>
            <w:r w:rsidRPr="00DB4E3A">
              <w:rPr>
                <w:color w:val="auto"/>
                <w:sz w:val="12"/>
                <w:szCs w:val="12"/>
              </w:rPr>
              <w:t>24 CFR 578.3</w:t>
            </w:r>
          </w:p>
          <w:p w14:paraId="65B03DF8" w14:textId="77777777" w:rsidR="00C804AA" w:rsidRPr="00DB4E3A" w:rsidRDefault="00C804AA" w:rsidP="00F24929">
            <w:pPr>
              <w:pStyle w:val="Default"/>
              <w:spacing w:before="60" w:after="60"/>
              <w:jc w:val="right"/>
              <w:rPr>
                <w:color w:val="auto"/>
                <w:sz w:val="12"/>
                <w:szCs w:val="12"/>
              </w:rPr>
            </w:pPr>
            <w:r w:rsidRPr="00DB4E3A">
              <w:rPr>
                <w:color w:val="auto"/>
                <w:sz w:val="12"/>
                <w:szCs w:val="12"/>
              </w:rPr>
              <w:t>PG 58</w:t>
            </w:r>
          </w:p>
        </w:tc>
      </w:tr>
      <w:tr w:rsidR="00DB4E3A" w:rsidRPr="00DB4E3A" w14:paraId="3502E301" w14:textId="77777777" w:rsidTr="009C6315">
        <w:tc>
          <w:tcPr>
            <w:tcW w:w="9867" w:type="dxa"/>
          </w:tcPr>
          <w:p w14:paraId="63D714B9" w14:textId="479E6424" w:rsidR="00C60765" w:rsidRPr="00DB4E3A" w:rsidRDefault="00C60765" w:rsidP="00324B5B">
            <w:pPr>
              <w:pStyle w:val="Default"/>
              <w:spacing w:before="60" w:after="60"/>
              <w:rPr>
                <w:color w:val="auto"/>
                <w:sz w:val="20"/>
                <w:szCs w:val="20"/>
              </w:rPr>
            </w:pPr>
            <w:r w:rsidRPr="00DB4E3A">
              <w:rPr>
                <w:b/>
                <w:bCs/>
                <w:i/>
                <w:iCs/>
                <w:color w:val="auto"/>
                <w:sz w:val="20"/>
                <w:szCs w:val="20"/>
              </w:rPr>
              <w:t>Tier 1</w:t>
            </w:r>
            <w:r w:rsidRPr="00DB4E3A">
              <w:rPr>
                <w:bCs/>
                <w:iCs/>
                <w:color w:val="auto"/>
                <w:sz w:val="20"/>
                <w:szCs w:val="20"/>
              </w:rPr>
              <w:t xml:space="preserve"> </w:t>
            </w:r>
            <w:r w:rsidR="008E5F85" w:rsidRPr="008E5F85">
              <w:rPr>
                <w:bCs/>
                <w:iCs/>
                <w:color w:val="auto"/>
                <w:sz w:val="20"/>
                <w:szCs w:val="20"/>
              </w:rPr>
              <w:t>Tier 1 is equal to 100 percent of the CoC’s Annual Renewal Demand (ARD) as described in Section III.B.2.a of this NOFO minus the Annual Renewal Amounts (ARAs) of YHDP renewal and YHDP replacement projects. Project applications in Tier 1 will be conditionally selected from the highest scoring CoC to the lowest scoring CoC, provided the project applications pass both project eligibility and project quality threshold review, and if applicable, project renewal threshold. Any type of new or renewal project application can be placed in Tier 1, except YHDP renewal or YHDP replacement, CoC planning, and if applicable, UFA Costs projects as these projects are not ranked. If a DV Bonus project ranked in Tier 1 is selected with DV Bonus funds, the project will be removed from this tier and the projects below it will move up one rank position. However, if a new DV Bonus project is not selected with DV Bonus funds, the project will retain its ranked position (see Section II.B.11.e of this NOFO). In the event insufficient funding is available to award all Tier 1 projects, Tier 1 will be reduced proportionately, which could result in some Tier 1 projects falling into Tier 2. Therefore, CoCs should carefully determine the priority and ranking for all project applications in</w:t>
            </w:r>
            <w:r w:rsidR="008E5F85">
              <w:rPr>
                <w:bCs/>
                <w:iCs/>
                <w:color w:val="auto"/>
                <w:sz w:val="20"/>
                <w:szCs w:val="20"/>
              </w:rPr>
              <w:t xml:space="preserve"> T</w:t>
            </w:r>
            <w:r w:rsidR="008E5F85" w:rsidRPr="008E5F85">
              <w:rPr>
                <w:bCs/>
                <w:iCs/>
                <w:color w:val="auto"/>
                <w:sz w:val="20"/>
                <w:szCs w:val="20"/>
              </w:rPr>
              <w:t>ier 1 as well as Tier 2, which is described below</w:t>
            </w:r>
          </w:p>
        </w:tc>
        <w:tc>
          <w:tcPr>
            <w:tcW w:w="1018" w:type="dxa"/>
          </w:tcPr>
          <w:p w14:paraId="4D42E236" w14:textId="6EC780EF" w:rsidR="00181CC0" w:rsidRPr="00DB4E3A" w:rsidRDefault="00181CC0" w:rsidP="00F24929">
            <w:pPr>
              <w:pStyle w:val="Default"/>
              <w:spacing w:before="60" w:after="60"/>
              <w:jc w:val="right"/>
              <w:rPr>
                <w:color w:val="auto"/>
                <w:sz w:val="12"/>
                <w:szCs w:val="12"/>
              </w:rPr>
            </w:pPr>
            <w:r w:rsidRPr="00DB4E3A">
              <w:rPr>
                <w:color w:val="auto"/>
                <w:sz w:val="12"/>
                <w:szCs w:val="12"/>
              </w:rPr>
              <w:t>NOF</w:t>
            </w:r>
            <w:r w:rsidR="008E5F85">
              <w:rPr>
                <w:color w:val="auto"/>
                <w:sz w:val="12"/>
                <w:szCs w:val="12"/>
              </w:rPr>
              <w:t>O</w:t>
            </w:r>
            <w:r w:rsidRPr="00DB4E3A">
              <w:rPr>
                <w:color w:val="auto"/>
                <w:sz w:val="12"/>
                <w:szCs w:val="12"/>
              </w:rPr>
              <w:t>, CoC Program Competition</w:t>
            </w:r>
          </w:p>
          <w:p w14:paraId="19ED05C4" w14:textId="7EA88EA6" w:rsidR="00C60765" w:rsidRPr="00DB4E3A" w:rsidRDefault="00181CC0" w:rsidP="00F24929">
            <w:pPr>
              <w:pStyle w:val="Default"/>
              <w:spacing w:before="60" w:after="60"/>
              <w:jc w:val="right"/>
              <w:rPr>
                <w:color w:val="auto"/>
                <w:sz w:val="12"/>
                <w:szCs w:val="12"/>
              </w:rPr>
            </w:pPr>
            <w:r w:rsidRPr="00DB4E3A">
              <w:rPr>
                <w:color w:val="auto"/>
                <w:sz w:val="12"/>
                <w:szCs w:val="12"/>
              </w:rPr>
              <w:t xml:space="preserve">PG </w:t>
            </w:r>
            <w:r w:rsidR="00772FCB">
              <w:rPr>
                <w:color w:val="auto"/>
                <w:sz w:val="12"/>
                <w:szCs w:val="12"/>
              </w:rPr>
              <w:t>1</w:t>
            </w:r>
            <w:r w:rsidR="008E5F85">
              <w:rPr>
                <w:color w:val="auto"/>
                <w:sz w:val="12"/>
                <w:szCs w:val="12"/>
              </w:rPr>
              <w:t>3</w:t>
            </w:r>
          </w:p>
        </w:tc>
      </w:tr>
      <w:tr w:rsidR="00DB4E3A" w:rsidRPr="00DB4E3A" w14:paraId="72639F81" w14:textId="77777777" w:rsidTr="009C6315">
        <w:tc>
          <w:tcPr>
            <w:tcW w:w="9867" w:type="dxa"/>
          </w:tcPr>
          <w:p w14:paraId="4ACB7D0C" w14:textId="5CA180BE" w:rsidR="00181CC0" w:rsidRPr="00DB4E3A" w:rsidRDefault="00181CC0" w:rsidP="00324B5B">
            <w:pPr>
              <w:autoSpaceDE w:val="0"/>
              <w:autoSpaceDN w:val="0"/>
              <w:adjustRightInd w:val="0"/>
              <w:spacing w:before="60" w:after="60"/>
              <w:rPr>
                <w:rFonts w:ascii="Times New Roman" w:hAnsi="Times New Roman" w:cs="Times New Roman"/>
                <w:sz w:val="20"/>
                <w:szCs w:val="20"/>
              </w:rPr>
            </w:pPr>
            <w:r w:rsidRPr="00DB4E3A">
              <w:rPr>
                <w:rFonts w:ascii="Arial" w:hAnsi="Arial" w:cs="Arial"/>
                <w:b/>
                <w:bCs/>
                <w:i/>
                <w:iCs/>
                <w:sz w:val="20"/>
                <w:szCs w:val="20"/>
              </w:rPr>
              <w:t xml:space="preserve">Tier 2 </w:t>
            </w:r>
            <w:r w:rsidR="008E5F85" w:rsidRPr="008E5F85">
              <w:rPr>
                <w:rFonts w:ascii="Arial" w:hAnsi="Arial" w:cs="Arial"/>
                <w:bCs/>
                <w:iCs/>
                <w:sz w:val="20"/>
                <w:szCs w:val="20"/>
              </w:rPr>
              <w:t xml:space="preserve">Tier 2 is the difference between Tier 1 and the maximum amount of renewal, reallocation, and CoC Bonus funds that a CoC can apply </w:t>
            </w:r>
            <w:proofErr w:type="gramStart"/>
            <w:r w:rsidR="008E5F85" w:rsidRPr="008E5F85">
              <w:rPr>
                <w:rFonts w:ascii="Arial" w:hAnsi="Arial" w:cs="Arial"/>
                <w:bCs/>
                <w:iCs/>
                <w:sz w:val="20"/>
                <w:szCs w:val="20"/>
              </w:rPr>
              <w:t>for, but</w:t>
            </w:r>
            <w:proofErr w:type="gramEnd"/>
            <w:r w:rsidR="008E5F85" w:rsidRPr="008E5F85">
              <w:rPr>
                <w:rFonts w:ascii="Arial" w:hAnsi="Arial" w:cs="Arial"/>
                <w:bCs/>
                <w:iCs/>
                <w:sz w:val="20"/>
                <w:szCs w:val="20"/>
              </w:rPr>
              <w:t xml:space="preserve"> does not include YHDP renewal or YHDP replacement projects, CoC planning projects, and if applicable, UFA Costs projects, or projects selected with DV Bonus funds. If a DV Bonus project ranked in Tier 2 is selected with DV Bonus funds, the project will be removed from this tier and the projects below it will move up one rank position. However, if a new DV Bonus project is not selected with DV Bonus funds, the project will retain its ranked position (see Section II.B.11.e of this NOFO). Project applications placed in Tier 2 will be assessed for project eligibility and project quality threshold requirements, and if applicable, project renewal threshold requirements, and funding will be determined using the CoC Application score as well as the factors listed in Section II.B.11 of this NOFO.</w:t>
            </w:r>
          </w:p>
        </w:tc>
        <w:tc>
          <w:tcPr>
            <w:tcW w:w="1018" w:type="dxa"/>
          </w:tcPr>
          <w:p w14:paraId="7B890D79" w14:textId="6331E33A" w:rsidR="00181CC0" w:rsidRPr="00DB4E3A" w:rsidRDefault="00772FCB" w:rsidP="00F24929">
            <w:pPr>
              <w:pStyle w:val="Default"/>
              <w:spacing w:before="60" w:after="60"/>
              <w:jc w:val="right"/>
              <w:rPr>
                <w:color w:val="auto"/>
                <w:sz w:val="12"/>
                <w:szCs w:val="12"/>
              </w:rPr>
            </w:pPr>
            <w:r w:rsidRPr="00DB4E3A">
              <w:rPr>
                <w:color w:val="auto"/>
                <w:sz w:val="12"/>
                <w:szCs w:val="12"/>
              </w:rPr>
              <w:t>NOF</w:t>
            </w:r>
            <w:r w:rsidR="008E5F85">
              <w:rPr>
                <w:color w:val="auto"/>
                <w:sz w:val="12"/>
                <w:szCs w:val="12"/>
              </w:rPr>
              <w:t>O</w:t>
            </w:r>
            <w:r w:rsidRPr="00DB4E3A">
              <w:rPr>
                <w:color w:val="auto"/>
                <w:sz w:val="12"/>
                <w:szCs w:val="12"/>
              </w:rPr>
              <w:t>, CoC</w:t>
            </w:r>
            <w:r w:rsidR="00181CC0" w:rsidRPr="00DB4E3A">
              <w:rPr>
                <w:color w:val="auto"/>
                <w:sz w:val="12"/>
                <w:szCs w:val="12"/>
              </w:rPr>
              <w:t xml:space="preserve"> Progra</w:t>
            </w:r>
            <w:r>
              <w:rPr>
                <w:color w:val="auto"/>
                <w:sz w:val="12"/>
                <w:szCs w:val="12"/>
              </w:rPr>
              <w:t>m</w:t>
            </w:r>
            <w:r w:rsidR="00181CC0" w:rsidRPr="00DB4E3A">
              <w:rPr>
                <w:color w:val="auto"/>
                <w:sz w:val="12"/>
                <w:szCs w:val="12"/>
              </w:rPr>
              <w:t xml:space="preserve"> Competition</w:t>
            </w:r>
          </w:p>
          <w:p w14:paraId="53D6CC2C" w14:textId="3AF8BA05" w:rsidR="00181CC0" w:rsidRPr="00DB4E3A" w:rsidRDefault="00181CC0" w:rsidP="00F24929">
            <w:pPr>
              <w:pStyle w:val="Default"/>
              <w:spacing w:before="60" w:after="60"/>
              <w:jc w:val="right"/>
              <w:rPr>
                <w:color w:val="auto"/>
                <w:sz w:val="12"/>
                <w:szCs w:val="12"/>
              </w:rPr>
            </w:pPr>
            <w:r w:rsidRPr="00DB4E3A">
              <w:rPr>
                <w:color w:val="auto"/>
                <w:sz w:val="12"/>
                <w:szCs w:val="12"/>
              </w:rPr>
              <w:t>PG 1</w:t>
            </w:r>
            <w:r w:rsidR="008E5F85">
              <w:rPr>
                <w:color w:val="auto"/>
                <w:sz w:val="12"/>
                <w:szCs w:val="12"/>
              </w:rPr>
              <w:t>3</w:t>
            </w:r>
          </w:p>
        </w:tc>
      </w:tr>
    </w:tbl>
    <w:p w14:paraId="72EB0ACD" w14:textId="77777777" w:rsidR="003A7472" w:rsidRDefault="003A7472" w:rsidP="003A7472"/>
    <w:sectPr w:rsidR="003A7472" w:rsidSect="004D649D">
      <w:headerReference w:type="default" r:id="rId9"/>
      <w:footerReference w:type="default" r:id="rId10"/>
      <w:pgSz w:w="12240" w:h="15840" w:code="1"/>
      <w:pgMar w:top="720" w:right="720" w:bottom="720" w:left="720" w:header="5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7552" w14:textId="77777777" w:rsidR="00E8658E" w:rsidRDefault="00E8658E" w:rsidP="009C6315">
      <w:pPr>
        <w:spacing w:after="0" w:line="240" w:lineRule="auto"/>
      </w:pPr>
      <w:r>
        <w:separator/>
      </w:r>
    </w:p>
  </w:endnote>
  <w:endnote w:type="continuationSeparator" w:id="0">
    <w:p w14:paraId="5C260384" w14:textId="77777777" w:rsidR="00E8658E" w:rsidRDefault="00E8658E" w:rsidP="009C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168417"/>
      <w:docPartObj>
        <w:docPartGallery w:val="Page Numbers (Bottom of Page)"/>
        <w:docPartUnique/>
      </w:docPartObj>
    </w:sdtPr>
    <w:sdtEndPr>
      <w:rPr>
        <w:color w:val="7F7F7F" w:themeColor="background1" w:themeShade="7F"/>
        <w:spacing w:val="20"/>
      </w:rPr>
    </w:sdtEndPr>
    <w:sdtContent>
      <w:p w14:paraId="71DD83A9" w14:textId="69FEE374" w:rsidR="009C6315" w:rsidRPr="008E5F85" w:rsidRDefault="008E5F85" w:rsidP="008E5F85">
        <w:pPr>
          <w:pStyle w:val="Footer"/>
          <w:pBdr>
            <w:top w:val="single" w:sz="4" w:space="1" w:color="D9D9D9" w:themeColor="background1" w:themeShade="D9"/>
          </w:pBdr>
          <w:rPr>
            <w:color w:val="7F7F7F" w:themeColor="background1" w:themeShade="7F"/>
            <w:spacing w:val="60"/>
          </w:rPr>
        </w:pPr>
        <w:r>
          <w:t xml:space="preserve">UPDATED AUGUST 2021                                                                                                                                                 </w:t>
        </w:r>
        <w:r w:rsidR="00914EAE">
          <w:fldChar w:fldCharType="begin"/>
        </w:r>
        <w:r w:rsidR="00914EAE">
          <w:instrText xml:space="preserve"> PAGE   \* MERGEFORMAT </w:instrText>
        </w:r>
        <w:r w:rsidR="00914EAE">
          <w:fldChar w:fldCharType="separate"/>
        </w:r>
        <w:r w:rsidR="00914EAE">
          <w:rPr>
            <w:noProof/>
          </w:rPr>
          <w:t>2</w:t>
        </w:r>
        <w:r w:rsidR="00914EAE">
          <w:rPr>
            <w:noProof/>
          </w:rPr>
          <w:fldChar w:fldCharType="end"/>
        </w:r>
        <w:r w:rsidR="00914EAE">
          <w:rPr>
            <w:noProof/>
          </w:rPr>
          <w:t xml:space="preserve"> of 4</w:t>
        </w:r>
        <w:r w:rsidR="00914EAE">
          <w:t xml:space="preserve"> | </w:t>
        </w:r>
        <w:r w:rsidR="00914EAE">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4CE3" w14:textId="77777777" w:rsidR="00E8658E" w:rsidRDefault="00E8658E" w:rsidP="009C6315">
      <w:pPr>
        <w:spacing w:after="0" w:line="240" w:lineRule="auto"/>
      </w:pPr>
      <w:r>
        <w:separator/>
      </w:r>
    </w:p>
  </w:footnote>
  <w:footnote w:type="continuationSeparator" w:id="0">
    <w:p w14:paraId="76613BB1" w14:textId="77777777" w:rsidR="00E8658E" w:rsidRDefault="00E8658E" w:rsidP="009C6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DD1B" w14:textId="24E8F711" w:rsidR="004D649D" w:rsidRDefault="004D649D" w:rsidP="004D649D">
    <w:pPr>
      <w:spacing w:after="0"/>
      <w:ind w:right="-90"/>
      <w:jc w:val="right"/>
      <w:rPr>
        <w:rFonts w:ascii="Bahnschrift" w:hAnsi="Bahnschrift"/>
        <w:sz w:val="36"/>
        <w:szCs w:val="36"/>
      </w:rPr>
    </w:pPr>
    <w:r>
      <w:rPr>
        <w:noProof/>
      </w:rPr>
      <w:drawing>
        <wp:anchor distT="0" distB="0" distL="114300" distR="114300" simplePos="0" relativeHeight="251659264" behindDoc="0" locked="0" layoutInCell="1" allowOverlap="1" wp14:anchorId="7D809459" wp14:editId="73AFAD30">
          <wp:simplePos x="0" y="0"/>
          <wp:positionH relativeFrom="margin">
            <wp:posOffset>45645</wp:posOffset>
          </wp:positionH>
          <wp:positionV relativeFrom="paragraph">
            <wp:posOffset>-126627</wp:posOffset>
          </wp:positionV>
          <wp:extent cx="2065020" cy="81724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6502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661">
      <w:rPr>
        <w:rFonts w:ascii="Bahnschrift" w:hAnsi="Bahnschrift"/>
        <w:sz w:val="36"/>
        <w:szCs w:val="36"/>
      </w:rPr>
      <w:t>Fairfax-Falls Church Community Partnership</w:t>
    </w:r>
    <w:r>
      <w:rPr>
        <w:rFonts w:ascii="Bahnschrift" w:hAnsi="Bahnschrift"/>
        <w:sz w:val="36"/>
        <w:szCs w:val="36"/>
      </w:rPr>
      <w:t xml:space="preserve"> </w:t>
    </w:r>
  </w:p>
  <w:p w14:paraId="1A5A262F" w14:textId="663A1EB1" w:rsidR="004D649D" w:rsidRPr="004870A0" w:rsidRDefault="004D649D" w:rsidP="004D649D">
    <w:pPr>
      <w:pStyle w:val="Header"/>
      <w:spacing w:after="60"/>
      <w:ind w:right="-90"/>
      <w:jc w:val="right"/>
      <w:rPr>
        <w:rFonts w:ascii="Bahnschrift SemiBold" w:hAnsi="Bahnschrift SemiBold"/>
        <w:b/>
        <w:color w:val="000000"/>
        <w:spacing w:val="10"/>
      </w:rPr>
    </w:pPr>
    <w:r w:rsidRPr="004870A0">
      <w:rPr>
        <w:rFonts w:ascii="Bahnschrift SemiBold" w:hAnsi="Bahnschrift SemiBold"/>
        <w:b/>
        <w:color w:val="000000"/>
        <w:spacing w:val="10"/>
      </w:rPr>
      <w:t>20</w:t>
    </w:r>
    <w:r w:rsidR="003E160C">
      <w:rPr>
        <w:rFonts w:ascii="Bahnschrift SemiBold" w:hAnsi="Bahnschrift SemiBold"/>
        <w:b/>
        <w:color w:val="000000"/>
        <w:spacing w:val="10"/>
      </w:rPr>
      <w:t>21</w:t>
    </w:r>
    <w:r w:rsidRPr="004870A0">
      <w:rPr>
        <w:rFonts w:ascii="Bahnschrift SemiBold" w:hAnsi="Bahnschrift SemiBold"/>
        <w:b/>
        <w:color w:val="000000"/>
        <w:spacing w:val="10"/>
      </w:rPr>
      <w:t xml:space="preserve"> HUD CoC Program Competition</w:t>
    </w:r>
  </w:p>
  <w:p w14:paraId="0F779698" w14:textId="54524DCB" w:rsidR="004D649D" w:rsidRPr="00484A6D" w:rsidRDefault="004D649D" w:rsidP="004D649D">
    <w:pPr>
      <w:pStyle w:val="Header"/>
      <w:tabs>
        <w:tab w:val="right" w:pos="10080"/>
      </w:tabs>
      <w:ind w:left="2250" w:right="-90"/>
      <w:jc w:val="right"/>
      <w:rPr>
        <w:rFonts w:ascii="Bahnschrift SemiBold" w:hAnsi="Bahnschrift SemiBold"/>
        <w:b/>
        <w:caps/>
        <w:color w:val="000000"/>
        <w:spacing w:val="10"/>
      </w:rPr>
    </w:pPr>
    <w:r>
      <w:rPr>
        <w:rFonts w:ascii="Bahnschrift SemiBold" w:hAnsi="Bahnschrift SemiBold"/>
        <w:b/>
        <w:caps/>
        <w:color w:val="000000"/>
        <w:spacing w:val="10"/>
      </w:rPr>
      <w:t xml:space="preserve">                                                                                  HUD DEFINITIONS</w:t>
    </w:r>
  </w:p>
  <w:p w14:paraId="1A019693" w14:textId="24AE7119" w:rsidR="00390690" w:rsidRDefault="004D649D" w:rsidP="00390690">
    <w:pPr>
      <w:pStyle w:val="Header"/>
      <w:jc w:val="center"/>
    </w:pPr>
    <w:r>
      <w:rPr>
        <w:noProof/>
      </w:rPr>
      <mc:AlternateContent>
        <mc:Choice Requires="wps">
          <w:drawing>
            <wp:anchor distT="4294967295" distB="4294967295" distL="114300" distR="114300" simplePos="0" relativeHeight="251660288" behindDoc="0" locked="0" layoutInCell="1" allowOverlap="1" wp14:anchorId="48C81058" wp14:editId="52459F4E">
              <wp:simplePos x="0" y="0"/>
              <wp:positionH relativeFrom="margin">
                <wp:posOffset>75303</wp:posOffset>
              </wp:positionH>
              <wp:positionV relativeFrom="paragraph">
                <wp:posOffset>53340</wp:posOffset>
              </wp:positionV>
              <wp:extent cx="68376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76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924A6F"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95pt,4.2pt" to="544.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" strokecolor="windowText" strokeweight="1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A32DE"/>
    <w:multiLevelType w:val="hybridMultilevel"/>
    <w:tmpl w:val="5AA00E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647B9"/>
    <w:multiLevelType w:val="hybridMultilevel"/>
    <w:tmpl w:val="72D832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247EB"/>
    <w:multiLevelType w:val="hybridMultilevel"/>
    <w:tmpl w:val="786894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D55FA"/>
    <w:multiLevelType w:val="hybridMultilevel"/>
    <w:tmpl w:val="EAFEABE8"/>
    <w:lvl w:ilvl="0" w:tplc="F6362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5203A"/>
    <w:multiLevelType w:val="hybridMultilevel"/>
    <w:tmpl w:val="0FA6C5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B0516"/>
    <w:multiLevelType w:val="hybridMultilevel"/>
    <w:tmpl w:val="CC345BE2"/>
    <w:lvl w:ilvl="0" w:tplc="CCC64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E4845"/>
    <w:multiLevelType w:val="hybridMultilevel"/>
    <w:tmpl w:val="89E6B6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876E1"/>
    <w:multiLevelType w:val="hybridMultilevel"/>
    <w:tmpl w:val="69D45CE6"/>
    <w:lvl w:ilvl="0" w:tplc="06820B3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74223"/>
    <w:multiLevelType w:val="hybridMultilevel"/>
    <w:tmpl w:val="FEAEF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068EC"/>
    <w:multiLevelType w:val="hybridMultilevel"/>
    <w:tmpl w:val="98DE25F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5"/>
  </w:num>
  <w:num w:numId="6">
    <w:abstractNumId w:val="0"/>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72"/>
    <w:rsid w:val="00030662"/>
    <w:rsid w:val="00035618"/>
    <w:rsid w:val="000B3F73"/>
    <w:rsid w:val="000C3F8C"/>
    <w:rsid w:val="000C7797"/>
    <w:rsid w:val="00106BE6"/>
    <w:rsid w:val="00181CC0"/>
    <w:rsid w:val="001B5446"/>
    <w:rsid w:val="002F063D"/>
    <w:rsid w:val="00324B5B"/>
    <w:rsid w:val="00390690"/>
    <w:rsid w:val="003A7472"/>
    <w:rsid w:val="003E160C"/>
    <w:rsid w:val="00436E71"/>
    <w:rsid w:val="004C63A2"/>
    <w:rsid w:val="004D649D"/>
    <w:rsid w:val="0055436B"/>
    <w:rsid w:val="00593631"/>
    <w:rsid w:val="005F40C2"/>
    <w:rsid w:val="00696F4D"/>
    <w:rsid w:val="006D30C6"/>
    <w:rsid w:val="006E6382"/>
    <w:rsid w:val="00772FCB"/>
    <w:rsid w:val="0079718C"/>
    <w:rsid w:val="007B6C85"/>
    <w:rsid w:val="007D489C"/>
    <w:rsid w:val="00843536"/>
    <w:rsid w:val="008A0AD7"/>
    <w:rsid w:val="008B159F"/>
    <w:rsid w:val="008E5F85"/>
    <w:rsid w:val="00914EAE"/>
    <w:rsid w:val="009C6315"/>
    <w:rsid w:val="00C0463E"/>
    <w:rsid w:val="00C40612"/>
    <w:rsid w:val="00C60765"/>
    <w:rsid w:val="00C804AA"/>
    <w:rsid w:val="00C82B76"/>
    <w:rsid w:val="00D42660"/>
    <w:rsid w:val="00D73CB0"/>
    <w:rsid w:val="00DB4E3A"/>
    <w:rsid w:val="00E8658E"/>
    <w:rsid w:val="00EC0416"/>
    <w:rsid w:val="00ED0A94"/>
    <w:rsid w:val="00EF28A8"/>
    <w:rsid w:val="00EF516B"/>
    <w:rsid w:val="00F24929"/>
    <w:rsid w:val="00F63EDC"/>
    <w:rsid w:val="00FA4B19"/>
    <w:rsid w:val="00FB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5BEA6"/>
  <w15:chartTrackingRefBased/>
  <w15:docId w15:val="{03FC5850-6A1D-4CFF-9182-A818A76D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4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7472"/>
    <w:pPr>
      <w:ind w:left="720"/>
      <w:contextualSpacing/>
    </w:pPr>
  </w:style>
  <w:style w:type="table" w:styleId="TableGrid">
    <w:name w:val="Table Grid"/>
    <w:basedOn w:val="TableNormal"/>
    <w:uiPriority w:val="39"/>
    <w:rsid w:val="003A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315"/>
  </w:style>
  <w:style w:type="paragraph" w:styleId="Footer">
    <w:name w:val="footer"/>
    <w:basedOn w:val="Normal"/>
    <w:link w:val="FooterChar"/>
    <w:uiPriority w:val="99"/>
    <w:unhideWhenUsed/>
    <w:rsid w:val="009C6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315"/>
  </w:style>
  <w:style w:type="character" w:styleId="Hyperlink">
    <w:name w:val="Hyperlink"/>
    <w:rsid w:val="00390690"/>
    <w:rPr>
      <w:color w:val="0000FF"/>
      <w:u w:val="single"/>
    </w:rPr>
  </w:style>
  <w:style w:type="character" w:customStyle="1" w:styleId="fontstyle01">
    <w:name w:val="fontstyle01"/>
    <w:basedOn w:val="DefaultParagraphFont"/>
    <w:rsid w:val="00390690"/>
    <w:rPr>
      <w:rFonts w:ascii="Arial" w:hAnsi="Arial" w:cs="Arial" w:hint="default"/>
      <w:b/>
      <w:bCs/>
      <w:i w:val="0"/>
      <w:iCs w:val="0"/>
      <w:color w:val="000000"/>
      <w:sz w:val="24"/>
      <w:szCs w:val="24"/>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character" w:styleId="UnresolvedMention">
    <w:name w:val="Unresolved Mention"/>
    <w:basedOn w:val="DefaultParagraphFont"/>
    <w:uiPriority w:val="99"/>
    <w:semiHidden/>
    <w:unhideWhenUsed/>
    <w:rsid w:val="0003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Users/jergas/AppData/Local/Temp/MicrosoftEdgeDownloads/e1856ff1-fd94-4cc4-ac35-531ea7e58999/FY21%20Continuum%20of%20Care%20Competition.pdf" TargetMode="External"/><Relationship Id="rId3" Type="http://schemas.openxmlformats.org/officeDocument/2006/relationships/settings" Target="settings.xml"/><Relationship Id="rId7" Type="http://schemas.openxmlformats.org/officeDocument/2006/relationships/hyperlink" Target="https://www.onecpd.info/resources/documents/CoCProgramInterimRule_FormattedVers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Fairfax County Government</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Ergas, Jamie</dc:creator>
  <cp:keywords/>
  <dc:description/>
  <cp:lastModifiedBy>Ergas, Jamie</cp:lastModifiedBy>
  <cp:revision>2</cp:revision>
  <cp:lastPrinted>2018-07-10T15:51:00Z</cp:lastPrinted>
  <dcterms:created xsi:type="dcterms:W3CDTF">2021-08-27T13:56:00Z</dcterms:created>
  <dcterms:modified xsi:type="dcterms:W3CDTF">2021-08-27T13:56:00Z</dcterms:modified>
</cp:coreProperties>
</file>